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C25" w:rsidRPr="008A0B72" w:rsidRDefault="00541C25" w:rsidP="00541C25">
      <w:pPr>
        <w:spacing w:after="80" w:line="216" w:lineRule="auto"/>
        <w:jc w:val="right"/>
        <w:rPr>
          <w:b/>
          <w:bCs/>
          <w:spacing w:val="-4"/>
          <w:sz w:val="23"/>
          <w:szCs w:val="23"/>
        </w:rPr>
      </w:pPr>
      <w:r w:rsidRPr="008A0B72">
        <w:rPr>
          <w:b/>
          <w:bCs/>
          <w:spacing w:val="-4"/>
          <w:sz w:val="23"/>
          <w:szCs w:val="23"/>
        </w:rPr>
        <w:t xml:space="preserve">Приложение </w:t>
      </w:r>
      <w:r>
        <w:rPr>
          <w:b/>
          <w:bCs/>
          <w:spacing w:val="-4"/>
          <w:sz w:val="23"/>
          <w:szCs w:val="23"/>
        </w:rPr>
        <w:t>1</w:t>
      </w:r>
    </w:p>
    <w:p w:rsidR="00541C25" w:rsidRPr="00317AE4" w:rsidRDefault="00541C25" w:rsidP="00541C25">
      <w:pPr>
        <w:spacing w:after="0"/>
        <w:contextualSpacing/>
      </w:pPr>
      <w:bookmarkStart w:id="0" w:name="_GoBack"/>
      <w:bookmarkEnd w:id="0"/>
    </w:p>
    <w:p w:rsidR="00541C25" w:rsidRPr="00317AE4" w:rsidRDefault="00541C25" w:rsidP="00541C25">
      <w:pPr>
        <w:numPr>
          <w:ilvl w:val="0"/>
          <w:numId w:val="2"/>
        </w:numPr>
        <w:spacing w:after="0"/>
        <w:contextualSpacing/>
        <w:jc w:val="center"/>
        <w:rPr>
          <w:rFonts w:eastAsia="Times New Roman"/>
          <w:b/>
          <w:lang w:eastAsia="ru-RU"/>
        </w:rPr>
      </w:pPr>
      <w:r w:rsidRPr="00317AE4">
        <w:rPr>
          <w:rFonts w:eastAsia="Times New Roman"/>
          <w:b/>
          <w:lang w:eastAsia="ru-RU"/>
        </w:rPr>
        <w:t>Предмет Конкурса</w:t>
      </w:r>
    </w:p>
    <w:p w:rsidR="00541C25" w:rsidRPr="00905EFF" w:rsidRDefault="00541C25" w:rsidP="00541C25">
      <w:pPr>
        <w:numPr>
          <w:ilvl w:val="1"/>
          <w:numId w:val="3"/>
        </w:numPr>
        <w:spacing w:after="0"/>
        <w:ind w:left="0" w:firstLine="0"/>
        <w:contextualSpacing/>
        <w:jc w:val="both"/>
        <w:rPr>
          <w:rFonts w:eastAsia="Times New Roman"/>
          <w:b/>
          <w:lang w:eastAsia="ru-RU"/>
        </w:rPr>
      </w:pPr>
      <w:r w:rsidRPr="00317AE4">
        <w:rPr>
          <w:rFonts w:eastAsia="Times New Roman"/>
          <w:lang w:eastAsia="ru-RU"/>
        </w:rPr>
        <w:t>Российско-</w:t>
      </w:r>
      <w:proofErr w:type="spellStart"/>
      <w:r w:rsidRPr="00317AE4">
        <w:rPr>
          <w:rFonts w:eastAsia="Times New Roman"/>
          <w:lang w:eastAsia="ru-RU"/>
        </w:rPr>
        <w:t>Кыргызский</w:t>
      </w:r>
      <w:proofErr w:type="spellEnd"/>
      <w:r w:rsidRPr="00317AE4">
        <w:rPr>
          <w:rFonts w:eastAsia="Times New Roman"/>
          <w:lang w:eastAsia="ru-RU"/>
        </w:rPr>
        <w:t xml:space="preserve"> Фонд развития (далее - Заказчик) приглашает представить предложения на проведение</w:t>
      </w:r>
      <w:r>
        <w:rPr>
          <w:rFonts w:eastAsia="Times New Roman"/>
          <w:lang w:eastAsia="ru-RU"/>
        </w:rPr>
        <w:t xml:space="preserve"> следующих работ в части </w:t>
      </w:r>
      <w:proofErr w:type="spellStart"/>
      <w:r>
        <w:rPr>
          <w:rFonts w:eastAsia="Times New Roman"/>
          <w:lang w:eastAsia="ru-RU"/>
        </w:rPr>
        <w:t>в</w:t>
      </w:r>
      <w:r>
        <w:rPr>
          <w:iCs/>
        </w:rPr>
        <w:t>алидации</w:t>
      </w:r>
      <w:proofErr w:type="spellEnd"/>
      <w:r>
        <w:rPr>
          <w:iCs/>
        </w:rPr>
        <w:t xml:space="preserve"> и актуализации модели РКФР по оценке ожидаемых кредитных убытков в рамках МСФО 9:</w:t>
      </w:r>
    </w:p>
    <w:p w:rsidR="00541C25" w:rsidRPr="00084404" w:rsidRDefault="00541C25" w:rsidP="00541C25">
      <w:pPr>
        <w:pStyle w:val="a3"/>
        <w:spacing w:after="80" w:line="240" w:lineRule="auto"/>
        <w:ind w:left="0" w:firstLine="567"/>
        <w:jc w:val="both"/>
        <w:rPr>
          <w:spacing w:val="-4"/>
          <w:sz w:val="23"/>
          <w:szCs w:val="23"/>
        </w:rPr>
      </w:pPr>
      <w:r w:rsidRPr="00084404">
        <w:rPr>
          <w:spacing w:val="-4"/>
          <w:sz w:val="23"/>
          <w:szCs w:val="23"/>
        </w:rPr>
        <w:t>- </w:t>
      </w:r>
      <w:proofErr w:type="spellStart"/>
      <w:r w:rsidRPr="00084404">
        <w:rPr>
          <w:spacing w:val="-4"/>
          <w:sz w:val="23"/>
          <w:szCs w:val="23"/>
        </w:rPr>
        <w:t>валидация</w:t>
      </w:r>
      <w:proofErr w:type="spellEnd"/>
      <w:r w:rsidRPr="00084404">
        <w:rPr>
          <w:spacing w:val="-4"/>
          <w:sz w:val="23"/>
          <w:szCs w:val="23"/>
        </w:rPr>
        <w:t xml:space="preserve"> текущей модели Фонда по ОКУ;</w:t>
      </w:r>
    </w:p>
    <w:p w:rsidR="00541C25" w:rsidRDefault="00541C25" w:rsidP="00541C25">
      <w:pPr>
        <w:pStyle w:val="a3"/>
        <w:spacing w:after="80" w:line="240" w:lineRule="auto"/>
        <w:ind w:left="0" w:firstLine="567"/>
        <w:jc w:val="both"/>
        <w:rPr>
          <w:spacing w:val="-4"/>
          <w:sz w:val="23"/>
          <w:szCs w:val="23"/>
        </w:rPr>
      </w:pPr>
      <w:r>
        <w:rPr>
          <w:spacing w:val="-4"/>
          <w:sz w:val="23"/>
          <w:szCs w:val="23"/>
        </w:rPr>
        <w:t xml:space="preserve">- рассмотрение возможности включения в модель Фонда по ОКУ и последующая интеграция в модель </w:t>
      </w:r>
      <w:r w:rsidRPr="00B642FB">
        <w:rPr>
          <w:spacing w:val="-4"/>
          <w:sz w:val="23"/>
          <w:szCs w:val="23"/>
        </w:rPr>
        <w:t>количественны</w:t>
      </w:r>
      <w:r>
        <w:rPr>
          <w:spacing w:val="-4"/>
          <w:sz w:val="23"/>
          <w:szCs w:val="23"/>
        </w:rPr>
        <w:t>х</w:t>
      </w:r>
      <w:r w:rsidRPr="00B642FB">
        <w:rPr>
          <w:spacing w:val="-4"/>
          <w:sz w:val="23"/>
          <w:szCs w:val="23"/>
        </w:rPr>
        <w:t xml:space="preserve"> и качественны</w:t>
      </w:r>
      <w:r>
        <w:rPr>
          <w:spacing w:val="-4"/>
          <w:sz w:val="23"/>
          <w:szCs w:val="23"/>
        </w:rPr>
        <w:t>х</w:t>
      </w:r>
      <w:r w:rsidRPr="00B642FB">
        <w:rPr>
          <w:spacing w:val="-4"/>
          <w:sz w:val="23"/>
          <w:szCs w:val="23"/>
        </w:rPr>
        <w:t xml:space="preserve"> оцен</w:t>
      </w:r>
      <w:r>
        <w:rPr>
          <w:spacing w:val="-4"/>
          <w:sz w:val="23"/>
          <w:szCs w:val="23"/>
        </w:rPr>
        <w:t>ок</w:t>
      </w:r>
      <w:r w:rsidRPr="00B642FB">
        <w:rPr>
          <w:spacing w:val="-4"/>
          <w:sz w:val="23"/>
          <w:szCs w:val="23"/>
        </w:rPr>
        <w:t>,</w:t>
      </w:r>
      <w:r>
        <w:rPr>
          <w:spacing w:val="-4"/>
          <w:sz w:val="23"/>
          <w:szCs w:val="23"/>
        </w:rPr>
        <w:t xml:space="preserve"> </w:t>
      </w:r>
      <w:r w:rsidRPr="00B642FB">
        <w:rPr>
          <w:spacing w:val="-4"/>
          <w:sz w:val="23"/>
          <w:szCs w:val="23"/>
        </w:rPr>
        <w:t>используемы</w:t>
      </w:r>
      <w:r>
        <w:rPr>
          <w:spacing w:val="-4"/>
          <w:sz w:val="23"/>
          <w:szCs w:val="23"/>
        </w:rPr>
        <w:t>х</w:t>
      </w:r>
      <w:r w:rsidRPr="00B642FB">
        <w:rPr>
          <w:spacing w:val="-4"/>
          <w:sz w:val="23"/>
          <w:szCs w:val="23"/>
        </w:rPr>
        <w:t xml:space="preserve"> </w:t>
      </w:r>
      <w:proofErr w:type="gramStart"/>
      <w:r>
        <w:rPr>
          <w:spacing w:val="-4"/>
          <w:sz w:val="23"/>
          <w:szCs w:val="23"/>
        </w:rPr>
        <w:t>в рамках</w:t>
      </w:r>
      <w:proofErr w:type="gramEnd"/>
      <w:r>
        <w:rPr>
          <w:spacing w:val="-4"/>
          <w:sz w:val="23"/>
          <w:szCs w:val="23"/>
        </w:rPr>
        <w:t xml:space="preserve"> действующих ЛНА Фонда по прямому и проектному финансированию (например, </w:t>
      </w:r>
      <w:r w:rsidRPr="00060894">
        <w:rPr>
          <w:spacing w:val="-4"/>
          <w:sz w:val="23"/>
          <w:szCs w:val="23"/>
        </w:rPr>
        <w:t>D</w:t>
      </w:r>
      <w:r w:rsidRPr="00F15597">
        <w:rPr>
          <w:spacing w:val="-4"/>
          <w:sz w:val="23"/>
          <w:szCs w:val="23"/>
        </w:rPr>
        <w:t>EBT</w:t>
      </w:r>
      <w:r w:rsidRPr="00613662">
        <w:rPr>
          <w:spacing w:val="-4"/>
          <w:sz w:val="23"/>
          <w:szCs w:val="23"/>
        </w:rPr>
        <w:t>/</w:t>
      </w:r>
      <w:r w:rsidRPr="00060894">
        <w:rPr>
          <w:spacing w:val="-4"/>
          <w:sz w:val="23"/>
          <w:szCs w:val="23"/>
        </w:rPr>
        <w:t>EBITDA</w:t>
      </w:r>
      <w:r w:rsidRPr="00A45452">
        <w:rPr>
          <w:spacing w:val="-4"/>
          <w:sz w:val="23"/>
          <w:szCs w:val="23"/>
        </w:rPr>
        <w:t xml:space="preserve">, </w:t>
      </w:r>
      <w:r w:rsidRPr="00060894">
        <w:rPr>
          <w:spacing w:val="-4"/>
          <w:sz w:val="23"/>
          <w:szCs w:val="23"/>
        </w:rPr>
        <w:t>DSCR</w:t>
      </w:r>
      <w:r w:rsidRPr="00A45452">
        <w:rPr>
          <w:spacing w:val="-4"/>
          <w:sz w:val="23"/>
          <w:szCs w:val="23"/>
        </w:rPr>
        <w:t>,</w:t>
      </w:r>
      <w:r w:rsidRPr="00184E92">
        <w:rPr>
          <w:spacing w:val="-4"/>
          <w:sz w:val="23"/>
          <w:szCs w:val="23"/>
        </w:rPr>
        <w:t xml:space="preserve"> </w:t>
      </w:r>
      <w:r w:rsidRPr="00F15597">
        <w:rPr>
          <w:spacing w:val="-4"/>
          <w:sz w:val="23"/>
          <w:szCs w:val="23"/>
        </w:rPr>
        <w:t>NPV</w:t>
      </w:r>
      <w:r>
        <w:rPr>
          <w:spacing w:val="-4"/>
          <w:sz w:val="23"/>
          <w:szCs w:val="23"/>
        </w:rPr>
        <w:t>), а также учесть их допустимые значения и веса в рамках отраслевой специфики проектов;</w:t>
      </w:r>
    </w:p>
    <w:p w:rsidR="00541C25" w:rsidRPr="00184E92" w:rsidRDefault="00541C25" w:rsidP="00541C25">
      <w:pPr>
        <w:pStyle w:val="a3"/>
        <w:spacing w:after="80" w:line="240" w:lineRule="auto"/>
        <w:ind w:left="0" w:firstLine="567"/>
        <w:jc w:val="both"/>
        <w:rPr>
          <w:spacing w:val="-4"/>
          <w:sz w:val="23"/>
          <w:szCs w:val="23"/>
        </w:rPr>
      </w:pPr>
      <w:r>
        <w:rPr>
          <w:spacing w:val="-4"/>
          <w:sz w:val="23"/>
          <w:szCs w:val="23"/>
        </w:rPr>
        <w:t xml:space="preserve">- в целях </w:t>
      </w:r>
      <w:proofErr w:type="spellStart"/>
      <w:r>
        <w:rPr>
          <w:spacing w:val="-4"/>
          <w:sz w:val="23"/>
          <w:szCs w:val="23"/>
        </w:rPr>
        <w:t>донастройки</w:t>
      </w:r>
      <w:proofErr w:type="spellEnd"/>
      <w:r>
        <w:rPr>
          <w:spacing w:val="-4"/>
          <w:sz w:val="23"/>
          <w:szCs w:val="23"/>
        </w:rPr>
        <w:t xml:space="preserve"> текущей модели Фонда по ОКУ рассмотреть возможность использования статистики банков-партнеров Фонда по миграции кредитов, выданных малому и среднему бизнесу, в категорию «Дефолт»;</w:t>
      </w:r>
    </w:p>
    <w:p w:rsidR="00541C25" w:rsidRDefault="00541C25" w:rsidP="00541C25">
      <w:pPr>
        <w:pStyle w:val="a3"/>
        <w:spacing w:after="80" w:line="240" w:lineRule="auto"/>
        <w:ind w:left="0" w:firstLine="567"/>
        <w:jc w:val="both"/>
        <w:rPr>
          <w:spacing w:val="-4"/>
          <w:sz w:val="23"/>
          <w:szCs w:val="23"/>
        </w:rPr>
      </w:pPr>
      <w:r>
        <w:rPr>
          <w:spacing w:val="-4"/>
          <w:sz w:val="23"/>
          <w:szCs w:val="23"/>
        </w:rPr>
        <w:t xml:space="preserve">- рассмотреть набор необходимых количественных и качественных риск-параметров в рамках долевого участия в компаниях </w:t>
      </w:r>
      <w:r w:rsidRPr="00F15597">
        <w:rPr>
          <w:spacing w:val="-4"/>
          <w:sz w:val="23"/>
          <w:szCs w:val="23"/>
        </w:rPr>
        <w:t>(в настоящее время долевое участие используется, как правило, по заемщикам в целях дополнительного контроля за деятельностью)</w:t>
      </w:r>
      <w:r>
        <w:rPr>
          <w:spacing w:val="-4"/>
          <w:sz w:val="23"/>
          <w:szCs w:val="23"/>
        </w:rPr>
        <w:t xml:space="preserve"> и последующая их интеграция в модель Фонда по ОКУ. В рамках Стратегии предполагается долевое участие как самостоятельный инструмент по финансированию деятельности;</w:t>
      </w:r>
    </w:p>
    <w:p w:rsidR="00541C25" w:rsidRDefault="00541C25" w:rsidP="00541C25">
      <w:pPr>
        <w:pStyle w:val="a3"/>
        <w:spacing w:after="80" w:line="240" w:lineRule="auto"/>
        <w:ind w:left="0" w:firstLine="567"/>
        <w:jc w:val="both"/>
        <w:rPr>
          <w:spacing w:val="-4"/>
          <w:sz w:val="23"/>
          <w:szCs w:val="23"/>
        </w:rPr>
      </w:pPr>
      <w:r w:rsidRPr="00F15597">
        <w:rPr>
          <w:spacing w:val="-4"/>
          <w:sz w:val="23"/>
          <w:szCs w:val="23"/>
        </w:rPr>
        <w:t>- рассмотреть возможность консолидации финансовых показателей группы связанных компаний (далее – ГСК): финансовые показатели заемщика + финансовые показатели связанной компании/</w:t>
      </w:r>
      <w:proofErr w:type="spellStart"/>
      <w:r w:rsidRPr="00F15597">
        <w:rPr>
          <w:spacing w:val="-4"/>
          <w:sz w:val="23"/>
          <w:szCs w:val="23"/>
        </w:rPr>
        <w:t>ий</w:t>
      </w:r>
      <w:proofErr w:type="spellEnd"/>
      <w:r w:rsidRPr="00F15597">
        <w:rPr>
          <w:spacing w:val="-4"/>
          <w:sz w:val="23"/>
          <w:szCs w:val="23"/>
        </w:rPr>
        <w:t xml:space="preserve"> в целях возможного снижения показателя PD, а не только LGD (данный подход уже есть в текущей модели) и последующая интеграции данного подхода в модель;</w:t>
      </w:r>
    </w:p>
    <w:p w:rsidR="00541C25" w:rsidRDefault="00541C25" w:rsidP="00541C25">
      <w:pPr>
        <w:pStyle w:val="a3"/>
        <w:spacing w:after="80" w:line="240" w:lineRule="auto"/>
        <w:ind w:left="0" w:firstLine="567"/>
        <w:jc w:val="both"/>
        <w:rPr>
          <w:spacing w:val="-4"/>
          <w:sz w:val="23"/>
          <w:szCs w:val="23"/>
        </w:rPr>
      </w:pPr>
      <w:r w:rsidRPr="00F15597">
        <w:rPr>
          <w:spacing w:val="-4"/>
          <w:sz w:val="23"/>
          <w:szCs w:val="23"/>
        </w:rPr>
        <w:t>- </w:t>
      </w:r>
      <w:r>
        <w:rPr>
          <w:spacing w:val="-4"/>
          <w:sz w:val="23"/>
          <w:szCs w:val="23"/>
        </w:rPr>
        <w:t>а</w:t>
      </w:r>
      <w:r w:rsidRPr="00F15597">
        <w:rPr>
          <w:spacing w:val="-4"/>
          <w:sz w:val="23"/>
          <w:szCs w:val="23"/>
        </w:rPr>
        <w:t>ктуализ</w:t>
      </w:r>
      <w:r>
        <w:rPr>
          <w:spacing w:val="-4"/>
          <w:sz w:val="23"/>
          <w:szCs w:val="23"/>
        </w:rPr>
        <w:t>ация</w:t>
      </w:r>
      <w:r w:rsidRPr="00F15597">
        <w:rPr>
          <w:spacing w:val="-4"/>
          <w:sz w:val="23"/>
          <w:szCs w:val="23"/>
        </w:rPr>
        <w:t xml:space="preserve"> методик</w:t>
      </w:r>
      <w:r>
        <w:rPr>
          <w:spacing w:val="-4"/>
          <w:sz w:val="23"/>
          <w:szCs w:val="23"/>
        </w:rPr>
        <w:t>и</w:t>
      </w:r>
      <w:r w:rsidRPr="00F15597">
        <w:rPr>
          <w:spacing w:val="-4"/>
          <w:sz w:val="23"/>
          <w:szCs w:val="23"/>
        </w:rPr>
        <w:t xml:space="preserve"> расчета ОКУ по средствам от погашения ценных бумаг российских эмитентов, замороженным </w:t>
      </w:r>
      <w:proofErr w:type="spellStart"/>
      <w:r w:rsidRPr="00F15597">
        <w:rPr>
          <w:spacing w:val="-4"/>
          <w:sz w:val="23"/>
          <w:szCs w:val="23"/>
        </w:rPr>
        <w:t>Euroclear</w:t>
      </w:r>
      <w:proofErr w:type="spellEnd"/>
      <w:r w:rsidRPr="00F15597">
        <w:rPr>
          <w:spacing w:val="-4"/>
          <w:sz w:val="23"/>
          <w:szCs w:val="23"/>
        </w:rPr>
        <w:t xml:space="preserve"> либо не проведенным зарубежными платежными агентами;</w:t>
      </w:r>
    </w:p>
    <w:p w:rsidR="00541C25" w:rsidRDefault="00541C25" w:rsidP="00541C25">
      <w:pPr>
        <w:pStyle w:val="a3"/>
        <w:spacing w:after="80" w:line="240" w:lineRule="auto"/>
        <w:ind w:left="0" w:firstLine="567"/>
        <w:jc w:val="both"/>
        <w:rPr>
          <w:spacing w:val="-4"/>
          <w:sz w:val="23"/>
          <w:szCs w:val="23"/>
        </w:rPr>
      </w:pPr>
      <w:r>
        <w:rPr>
          <w:spacing w:val="-4"/>
          <w:sz w:val="23"/>
          <w:szCs w:val="23"/>
        </w:rPr>
        <w:t xml:space="preserve">- проведение тестирования и внесение изменений (при необходимости) в список макроэкономических показателей, используемых для расчета </w:t>
      </w:r>
      <w:proofErr w:type="spellStart"/>
      <w:r>
        <w:rPr>
          <w:spacing w:val="-4"/>
          <w:sz w:val="23"/>
          <w:szCs w:val="23"/>
        </w:rPr>
        <w:t>макропоправки</w:t>
      </w:r>
      <w:proofErr w:type="spellEnd"/>
      <w:r>
        <w:rPr>
          <w:spacing w:val="-4"/>
          <w:sz w:val="23"/>
          <w:szCs w:val="23"/>
        </w:rPr>
        <w:t>;</w:t>
      </w:r>
    </w:p>
    <w:p w:rsidR="00541C25" w:rsidRDefault="00541C25" w:rsidP="00541C25">
      <w:pPr>
        <w:pStyle w:val="a3"/>
        <w:spacing w:after="80" w:line="240" w:lineRule="auto"/>
        <w:ind w:left="0" w:firstLine="567"/>
        <w:jc w:val="both"/>
        <w:rPr>
          <w:rFonts w:eastAsia="Times New Roman"/>
          <w:lang w:eastAsia="ru-RU"/>
        </w:rPr>
      </w:pPr>
      <w:r w:rsidRPr="00F15597">
        <w:rPr>
          <w:spacing w:val="-4"/>
          <w:sz w:val="23"/>
          <w:szCs w:val="23"/>
        </w:rPr>
        <w:t>- </w:t>
      </w:r>
      <w:r>
        <w:rPr>
          <w:spacing w:val="-4"/>
          <w:sz w:val="23"/>
          <w:szCs w:val="23"/>
        </w:rPr>
        <w:t>р</w:t>
      </w:r>
      <w:r w:rsidRPr="00F15597">
        <w:rPr>
          <w:spacing w:val="-4"/>
          <w:sz w:val="23"/>
          <w:szCs w:val="23"/>
        </w:rPr>
        <w:t>ассмотреть возможность снижения процента резервирования условных обязательств кредитного характера (</w:t>
      </w:r>
      <w:proofErr w:type="spellStart"/>
      <w:r w:rsidRPr="00F15597">
        <w:rPr>
          <w:spacing w:val="-4"/>
          <w:sz w:val="23"/>
          <w:szCs w:val="23"/>
        </w:rPr>
        <w:t>credit</w:t>
      </w:r>
      <w:proofErr w:type="spellEnd"/>
      <w:r w:rsidRPr="00F15597">
        <w:rPr>
          <w:spacing w:val="-4"/>
          <w:sz w:val="23"/>
          <w:szCs w:val="23"/>
        </w:rPr>
        <w:t xml:space="preserve"> </w:t>
      </w:r>
      <w:proofErr w:type="spellStart"/>
      <w:r w:rsidRPr="00F15597">
        <w:rPr>
          <w:spacing w:val="-4"/>
          <w:sz w:val="23"/>
          <w:szCs w:val="23"/>
        </w:rPr>
        <w:t>conversion</w:t>
      </w:r>
      <w:proofErr w:type="spellEnd"/>
      <w:r w:rsidRPr="00F15597">
        <w:rPr>
          <w:spacing w:val="-4"/>
          <w:sz w:val="23"/>
          <w:szCs w:val="23"/>
        </w:rPr>
        <w:t xml:space="preserve"> </w:t>
      </w:r>
      <w:proofErr w:type="spellStart"/>
      <w:r w:rsidRPr="00F15597">
        <w:rPr>
          <w:spacing w:val="-4"/>
          <w:sz w:val="23"/>
          <w:szCs w:val="23"/>
        </w:rPr>
        <w:t>factor</w:t>
      </w:r>
      <w:proofErr w:type="spellEnd"/>
      <w:r w:rsidRPr="00F15597">
        <w:rPr>
          <w:spacing w:val="-4"/>
          <w:sz w:val="23"/>
          <w:szCs w:val="23"/>
        </w:rPr>
        <w:t>, CCF) по неиспользованному лимиту кредитной линии с 50% (потенциальный предел снижения – вплоть до 20%).</w:t>
      </w:r>
    </w:p>
    <w:p w:rsidR="00541C25" w:rsidRPr="008E14CB" w:rsidRDefault="00541C25" w:rsidP="00541C25">
      <w:pPr>
        <w:numPr>
          <w:ilvl w:val="1"/>
          <w:numId w:val="3"/>
        </w:numPr>
        <w:spacing w:after="0"/>
        <w:ind w:left="0" w:firstLine="0"/>
        <w:contextualSpacing/>
        <w:jc w:val="both"/>
        <w:rPr>
          <w:rFonts w:eastAsia="Times New Roman"/>
          <w:lang w:eastAsia="ru-RU"/>
        </w:rPr>
      </w:pPr>
      <w:r w:rsidRPr="00317AE4">
        <w:rPr>
          <w:rFonts w:eastAsia="Times New Roman"/>
          <w:lang w:eastAsia="ru-RU"/>
        </w:rPr>
        <w:t>В конкурсе могут принять участие юридические лица, независимо от организационно-правовой формы, формы собственности, места нахождения, места происхождения капитала и зарегистрированные в порядке, установленном законодательством страны его места нахождения и являющиеся резидентами государств-участников Фонда.</w:t>
      </w:r>
    </w:p>
    <w:p w:rsidR="00541C25" w:rsidRPr="00317AE4" w:rsidRDefault="00541C25" w:rsidP="00541C25">
      <w:pPr>
        <w:spacing w:after="0"/>
        <w:ind w:left="709" w:hanging="720"/>
        <w:contextualSpacing/>
        <w:jc w:val="both"/>
        <w:rPr>
          <w:rFonts w:eastAsia="Times New Roman"/>
          <w:lang w:eastAsia="ru-RU"/>
        </w:rPr>
      </w:pPr>
    </w:p>
    <w:p w:rsidR="00541C25" w:rsidRPr="00317AE4" w:rsidRDefault="00541C25" w:rsidP="00541C25">
      <w:pPr>
        <w:numPr>
          <w:ilvl w:val="0"/>
          <w:numId w:val="2"/>
        </w:numPr>
        <w:tabs>
          <w:tab w:val="clear" w:pos="720"/>
          <w:tab w:val="num" w:pos="0"/>
        </w:tabs>
        <w:spacing w:after="0"/>
        <w:ind w:left="0" w:firstLine="0"/>
        <w:contextualSpacing/>
        <w:jc w:val="center"/>
        <w:rPr>
          <w:b/>
        </w:rPr>
      </w:pPr>
      <w:r w:rsidRPr="00317AE4">
        <w:rPr>
          <w:rFonts w:eastAsia="Times New Roman"/>
          <w:b/>
          <w:lang w:eastAsia="ru-RU"/>
        </w:rPr>
        <w:t>Базовые критерии отбора</w:t>
      </w:r>
    </w:p>
    <w:p w:rsidR="00541C25" w:rsidRPr="00317AE4" w:rsidRDefault="00541C25" w:rsidP="00541C25">
      <w:pPr>
        <w:spacing w:after="0"/>
        <w:contextualSpacing/>
        <w:jc w:val="both"/>
      </w:pPr>
    </w:p>
    <w:tbl>
      <w:tblPr>
        <w:tblW w:w="9533" w:type="dxa"/>
        <w:tblInd w:w="-40" w:type="dxa"/>
        <w:tblCellMar>
          <w:top w:w="7" w:type="dxa"/>
        </w:tblCellMar>
        <w:tblLook w:val="04A0" w:firstRow="1" w:lastRow="0" w:firstColumn="1" w:lastColumn="0" w:noHBand="0" w:noVBand="1"/>
      </w:tblPr>
      <w:tblGrid>
        <w:gridCol w:w="561"/>
        <w:gridCol w:w="2587"/>
        <w:gridCol w:w="6385"/>
      </w:tblGrid>
      <w:tr w:rsidR="00541C25" w:rsidRPr="00317AE4" w:rsidTr="00590227">
        <w:trPr>
          <w:trHeight w:val="643"/>
        </w:trPr>
        <w:tc>
          <w:tcPr>
            <w:tcW w:w="5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41C25" w:rsidRPr="00317AE4" w:rsidRDefault="00541C25" w:rsidP="00590227">
            <w:pPr>
              <w:spacing w:after="0"/>
              <w:contextualSpacing/>
              <w:jc w:val="center"/>
              <w:rPr>
                <w:b/>
                <w:iCs/>
              </w:rPr>
            </w:pPr>
            <w:r w:rsidRPr="00317AE4">
              <w:rPr>
                <w:b/>
                <w:iCs/>
              </w:rPr>
              <w:t>№</w:t>
            </w:r>
          </w:p>
          <w:p w:rsidR="00541C25" w:rsidRPr="00317AE4" w:rsidRDefault="00541C25" w:rsidP="00590227">
            <w:pPr>
              <w:spacing w:after="0"/>
              <w:contextualSpacing/>
              <w:jc w:val="center"/>
              <w:rPr>
                <w:b/>
                <w:iCs/>
              </w:rPr>
            </w:pPr>
            <w:r w:rsidRPr="00317AE4">
              <w:rPr>
                <w:b/>
                <w:iCs/>
              </w:rPr>
              <w:t>п/п</w:t>
            </w:r>
          </w:p>
        </w:tc>
        <w:tc>
          <w:tcPr>
            <w:tcW w:w="25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41C25" w:rsidRPr="00317AE4" w:rsidRDefault="00541C25" w:rsidP="00590227">
            <w:pPr>
              <w:spacing w:after="0"/>
              <w:contextualSpacing/>
              <w:jc w:val="center"/>
              <w:rPr>
                <w:b/>
                <w:iCs/>
              </w:rPr>
            </w:pPr>
            <w:r w:rsidRPr="00317AE4">
              <w:rPr>
                <w:b/>
                <w:iCs/>
              </w:rPr>
              <w:t>Раздел</w:t>
            </w:r>
          </w:p>
        </w:tc>
        <w:tc>
          <w:tcPr>
            <w:tcW w:w="63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41C25" w:rsidRPr="00317AE4" w:rsidRDefault="00541C25" w:rsidP="00590227">
            <w:pPr>
              <w:spacing w:after="0"/>
              <w:contextualSpacing/>
              <w:jc w:val="center"/>
              <w:rPr>
                <w:b/>
                <w:iCs/>
              </w:rPr>
            </w:pPr>
            <w:r w:rsidRPr="00317AE4">
              <w:rPr>
                <w:b/>
                <w:iCs/>
              </w:rPr>
              <w:t>Содержание требований</w:t>
            </w:r>
          </w:p>
        </w:tc>
      </w:tr>
      <w:tr w:rsidR="00541C25" w:rsidRPr="00317AE4" w:rsidTr="00590227">
        <w:trPr>
          <w:trHeight w:val="263"/>
        </w:trPr>
        <w:tc>
          <w:tcPr>
            <w:tcW w:w="561" w:type="dxa"/>
            <w:tcBorders>
              <w:top w:val="single" w:sz="4" w:space="0" w:color="000000"/>
              <w:left w:val="single" w:sz="4" w:space="0" w:color="000000"/>
              <w:bottom w:val="single" w:sz="4" w:space="0" w:color="000000"/>
              <w:right w:val="single" w:sz="4" w:space="0" w:color="000000"/>
            </w:tcBorders>
          </w:tcPr>
          <w:p w:rsidR="00541C25" w:rsidRPr="00317AE4" w:rsidRDefault="00541C25" w:rsidP="00590227">
            <w:pPr>
              <w:spacing w:after="0"/>
              <w:contextualSpacing/>
              <w:jc w:val="center"/>
              <w:rPr>
                <w:iCs/>
              </w:rPr>
            </w:pPr>
            <w:r w:rsidRPr="00317AE4">
              <w:rPr>
                <w:iCs/>
              </w:rPr>
              <w:t>1</w:t>
            </w:r>
          </w:p>
        </w:tc>
        <w:tc>
          <w:tcPr>
            <w:tcW w:w="2587" w:type="dxa"/>
            <w:tcBorders>
              <w:top w:val="single" w:sz="4" w:space="0" w:color="000000"/>
              <w:left w:val="single" w:sz="4" w:space="0" w:color="000000"/>
              <w:bottom w:val="single" w:sz="4" w:space="0" w:color="000000"/>
              <w:right w:val="single" w:sz="4" w:space="0" w:color="000000"/>
            </w:tcBorders>
          </w:tcPr>
          <w:p w:rsidR="00541C25" w:rsidRPr="00317AE4" w:rsidRDefault="00541C25" w:rsidP="00590227">
            <w:pPr>
              <w:spacing w:after="0"/>
              <w:contextualSpacing/>
              <w:jc w:val="center"/>
              <w:rPr>
                <w:iCs/>
              </w:rPr>
            </w:pPr>
            <w:r w:rsidRPr="00317AE4">
              <w:rPr>
                <w:iCs/>
              </w:rPr>
              <w:t>2</w:t>
            </w:r>
          </w:p>
        </w:tc>
        <w:tc>
          <w:tcPr>
            <w:tcW w:w="6385" w:type="dxa"/>
            <w:tcBorders>
              <w:top w:val="single" w:sz="4" w:space="0" w:color="000000"/>
              <w:left w:val="single" w:sz="4" w:space="0" w:color="000000"/>
              <w:bottom w:val="single" w:sz="4" w:space="0" w:color="000000"/>
              <w:right w:val="single" w:sz="4" w:space="0" w:color="000000"/>
            </w:tcBorders>
          </w:tcPr>
          <w:p w:rsidR="00541C25" w:rsidRPr="00317AE4" w:rsidRDefault="00541C25" w:rsidP="00590227">
            <w:pPr>
              <w:spacing w:after="0"/>
              <w:contextualSpacing/>
              <w:jc w:val="center"/>
              <w:rPr>
                <w:iCs/>
              </w:rPr>
            </w:pPr>
            <w:r w:rsidRPr="00317AE4">
              <w:rPr>
                <w:iCs/>
              </w:rPr>
              <w:t>3</w:t>
            </w:r>
          </w:p>
        </w:tc>
      </w:tr>
      <w:tr w:rsidR="00541C25" w:rsidRPr="00317AE4" w:rsidTr="00590227">
        <w:trPr>
          <w:trHeight w:val="315"/>
        </w:trPr>
        <w:tc>
          <w:tcPr>
            <w:tcW w:w="561" w:type="dxa"/>
            <w:tcBorders>
              <w:top w:val="single" w:sz="4" w:space="0" w:color="000000"/>
              <w:left w:val="single" w:sz="4" w:space="0" w:color="000000"/>
              <w:bottom w:val="single" w:sz="4" w:space="0" w:color="000000"/>
              <w:right w:val="single" w:sz="4" w:space="0" w:color="000000"/>
            </w:tcBorders>
          </w:tcPr>
          <w:p w:rsidR="00541C25" w:rsidRPr="00317AE4" w:rsidRDefault="00541C25" w:rsidP="00590227">
            <w:pPr>
              <w:spacing w:after="0"/>
              <w:contextualSpacing/>
              <w:jc w:val="both"/>
              <w:rPr>
                <w:iCs/>
              </w:rPr>
            </w:pPr>
            <w:r>
              <w:rPr>
                <w:iCs/>
              </w:rPr>
              <w:t>1</w:t>
            </w:r>
          </w:p>
        </w:tc>
        <w:tc>
          <w:tcPr>
            <w:tcW w:w="2587" w:type="dxa"/>
            <w:tcBorders>
              <w:top w:val="single" w:sz="4" w:space="0" w:color="000000"/>
              <w:left w:val="single" w:sz="4" w:space="0" w:color="000000"/>
              <w:bottom w:val="single" w:sz="4" w:space="0" w:color="000000"/>
              <w:right w:val="single" w:sz="4" w:space="0" w:color="000000"/>
            </w:tcBorders>
          </w:tcPr>
          <w:p w:rsidR="00541C25" w:rsidRPr="00317AE4" w:rsidRDefault="00541C25" w:rsidP="00590227">
            <w:pPr>
              <w:spacing w:after="0"/>
              <w:contextualSpacing/>
              <w:jc w:val="both"/>
              <w:rPr>
                <w:iCs/>
                <w:lang w:val="ky-KG"/>
              </w:rPr>
            </w:pPr>
            <w:r w:rsidRPr="00317AE4">
              <w:rPr>
                <w:iCs/>
              </w:rPr>
              <w:t>Наименование проекта</w:t>
            </w:r>
          </w:p>
        </w:tc>
        <w:tc>
          <w:tcPr>
            <w:tcW w:w="6385" w:type="dxa"/>
            <w:tcBorders>
              <w:top w:val="single" w:sz="4" w:space="0" w:color="000000"/>
              <w:left w:val="single" w:sz="4" w:space="0" w:color="000000"/>
              <w:bottom w:val="single" w:sz="4" w:space="0" w:color="000000"/>
              <w:right w:val="single" w:sz="4" w:space="0" w:color="000000"/>
            </w:tcBorders>
          </w:tcPr>
          <w:p w:rsidR="00541C25" w:rsidRPr="00317AE4" w:rsidRDefault="00541C25" w:rsidP="00590227">
            <w:pPr>
              <w:spacing w:after="0"/>
              <w:contextualSpacing/>
              <w:jc w:val="both"/>
              <w:rPr>
                <w:iCs/>
              </w:rPr>
            </w:pPr>
            <w:proofErr w:type="spellStart"/>
            <w:r>
              <w:rPr>
                <w:iCs/>
              </w:rPr>
              <w:t>Валидация</w:t>
            </w:r>
            <w:proofErr w:type="spellEnd"/>
            <w:r>
              <w:rPr>
                <w:iCs/>
              </w:rPr>
              <w:t xml:space="preserve"> и актуализация модели РКФР по оценке ожидаемых кредитных убытков в рамках МСФО 9</w:t>
            </w:r>
          </w:p>
        </w:tc>
      </w:tr>
      <w:tr w:rsidR="00541C25" w:rsidRPr="00317AE4" w:rsidTr="00590227">
        <w:trPr>
          <w:trHeight w:val="315"/>
        </w:trPr>
        <w:tc>
          <w:tcPr>
            <w:tcW w:w="561" w:type="dxa"/>
            <w:tcBorders>
              <w:top w:val="single" w:sz="4" w:space="0" w:color="000000"/>
              <w:left w:val="single" w:sz="4" w:space="0" w:color="000000"/>
              <w:bottom w:val="single" w:sz="4" w:space="0" w:color="000000"/>
              <w:right w:val="single" w:sz="4" w:space="0" w:color="000000"/>
            </w:tcBorders>
          </w:tcPr>
          <w:p w:rsidR="00541C25" w:rsidRPr="00317AE4" w:rsidRDefault="00541C25" w:rsidP="00590227">
            <w:pPr>
              <w:spacing w:after="0"/>
              <w:contextualSpacing/>
              <w:jc w:val="both"/>
              <w:rPr>
                <w:iCs/>
              </w:rPr>
            </w:pPr>
            <w:r>
              <w:rPr>
                <w:iCs/>
              </w:rPr>
              <w:t>2</w:t>
            </w:r>
          </w:p>
        </w:tc>
        <w:tc>
          <w:tcPr>
            <w:tcW w:w="2587" w:type="dxa"/>
            <w:tcBorders>
              <w:top w:val="single" w:sz="4" w:space="0" w:color="000000"/>
              <w:left w:val="single" w:sz="4" w:space="0" w:color="000000"/>
              <w:bottom w:val="single" w:sz="4" w:space="0" w:color="000000"/>
              <w:right w:val="single" w:sz="4" w:space="0" w:color="000000"/>
            </w:tcBorders>
          </w:tcPr>
          <w:p w:rsidR="00541C25" w:rsidRPr="00317AE4" w:rsidRDefault="00541C25" w:rsidP="00590227">
            <w:pPr>
              <w:spacing w:after="0"/>
              <w:contextualSpacing/>
              <w:jc w:val="both"/>
              <w:rPr>
                <w:iCs/>
              </w:rPr>
            </w:pPr>
            <w:r w:rsidRPr="00317AE4">
              <w:t>Информация о проекте</w:t>
            </w:r>
          </w:p>
        </w:tc>
        <w:tc>
          <w:tcPr>
            <w:tcW w:w="6385" w:type="dxa"/>
            <w:tcBorders>
              <w:top w:val="single" w:sz="4" w:space="0" w:color="000000"/>
              <w:left w:val="single" w:sz="4" w:space="0" w:color="000000"/>
              <w:bottom w:val="single" w:sz="4" w:space="0" w:color="000000"/>
              <w:right w:val="single" w:sz="4" w:space="0" w:color="000000"/>
            </w:tcBorders>
          </w:tcPr>
          <w:p w:rsidR="00541C25" w:rsidRPr="00317AE4" w:rsidRDefault="00541C25" w:rsidP="00590227">
            <w:pPr>
              <w:spacing w:after="0"/>
              <w:contextualSpacing/>
              <w:jc w:val="both"/>
              <w:rPr>
                <w:iCs/>
              </w:rPr>
            </w:pPr>
            <w:r>
              <w:rPr>
                <w:spacing w:val="-4"/>
                <w:sz w:val="23"/>
                <w:szCs w:val="23"/>
              </w:rPr>
              <w:t xml:space="preserve">Актуализация модели оценки ОКУ связана с планами по утверждению в текущем году Стратегии РКФР на 2023-2027 гг., результатами внешнего аудита финансовой отчетность за 2021 г. и необходимостью </w:t>
            </w:r>
            <w:proofErr w:type="spellStart"/>
            <w:r>
              <w:rPr>
                <w:spacing w:val="-4"/>
                <w:sz w:val="23"/>
                <w:szCs w:val="23"/>
              </w:rPr>
              <w:t>валидации</w:t>
            </w:r>
            <w:proofErr w:type="spellEnd"/>
            <w:r>
              <w:rPr>
                <w:spacing w:val="-4"/>
                <w:sz w:val="23"/>
                <w:szCs w:val="23"/>
              </w:rPr>
              <w:t xml:space="preserve"> уже существующего подхода. Совершенствование модели оценки ОКУ является особенно актуальной ввиду </w:t>
            </w:r>
            <w:r w:rsidRPr="00E15ADB">
              <w:rPr>
                <w:spacing w:val="-4"/>
                <w:sz w:val="23"/>
                <w:szCs w:val="23"/>
              </w:rPr>
              <w:t xml:space="preserve">обострения геополитической ситуации в </w:t>
            </w:r>
            <w:r w:rsidRPr="00E15ADB">
              <w:rPr>
                <w:spacing w:val="-4"/>
                <w:sz w:val="23"/>
                <w:szCs w:val="23"/>
              </w:rPr>
              <w:lastRenderedPageBreak/>
              <w:t>отношении Российской Федерации</w:t>
            </w:r>
            <w:r>
              <w:rPr>
                <w:spacing w:val="-4"/>
                <w:sz w:val="23"/>
                <w:szCs w:val="23"/>
              </w:rPr>
              <w:t>, что также оказывает негативное влияние на экономику КР</w:t>
            </w:r>
          </w:p>
        </w:tc>
      </w:tr>
      <w:tr w:rsidR="00541C25" w:rsidRPr="00317AE4" w:rsidTr="00590227">
        <w:trPr>
          <w:trHeight w:val="315"/>
        </w:trPr>
        <w:tc>
          <w:tcPr>
            <w:tcW w:w="561" w:type="dxa"/>
            <w:tcBorders>
              <w:top w:val="single" w:sz="4" w:space="0" w:color="000000"/>
              <w:left w:val="single" w:sz="4" w:space="0" w:color="000000"/>
              <w:bottom w:val="single" w:sz="4" w:space="0" w:color="000000"/>
              <w:right w:val="single" w:sz="4" w:space="0" w:color="000000"/>
            </w:tcBorders>
          </w:tcPr>
          <w:p w:rsidR="00541C25" w:rsidRPr="00317AE4" w:rsidRDefault="00541C25" w:rsidP="00590227">
            <w:pPr>
              <w:spacing w:after="0"/>
              <w:contextualSpacing/>
              <w:jc w:val="both"/>
              <w:rPr>
                <w:iCs/>
              </w:rPr>
            </w:pPr>
            <w:r>
              <w:rPr>
                <w:iCs/>
              </w:rPr>
              <w:lastRenderedPageBreak/>
              <w:t>3</w:t>
            </w:r>
          </w:p>
        </w:tc>
        <w:tc>
          <w:tcPr>
            <w:tcW w:w="2587" w:type="dxa"/>
            <w:tcBorders>
              <w:top w:val="single" w:sz="4" w:space="0" w:color="000000"/>
              <w:left w:val="single" w:sz="4" w:space="0" w:color="000000"/>
              <w:bottom w:val="single" w:sz="4" w:space="0" w:color="000000"/>
              <w:right w:val="single" w:sz="4" w:space="0" w:color="000000"/>
            </w:tcBorders>
          </w:tcPr>
          <w:p w:rsidR="00541C25" w:rsidRPr="00317AE4" w:rsidRDefault="00541C25" w:rsidP="00590227">
            <w:pPr>
              <w:spacing w:after="0"/>
              <w:contextualSpacing/>
              <w:jc w:val="both"/>
              <w:rPr>
                <w:iCs/>
              </w:rPr>
            </w:pPr>
            <w:r w:rsidRPr="00317AE4">
              <w:rPr>
                <w:iCs/>
              </w:rPr>
              <w:t xml:space="preserve">Наименование </w:t>
            </w:r>
            <w:r w:rsidRPr="00317AE4">
              <w:rPr>
                <w:iCs/>
                <w:lang w:val="ky-KG"/>
              </w:rPr>
              <w:t>работы</w:t>
            </w:r>
          </w:p>
        </w:tc>
        <w:tc>
          <w:tcPr>
            <w:tcW w:w="6385" w:type="dxa"/>
            <w:tcBorders>
              <w:top w:val="single" w:sz="4" w:space="0" w:color="000000"/>
              <w:left w:val="single" w:sz="4" w:space="0" w:color="000000"/>
              <w:bottom w:val="single" w:sz="4" w:space="0" w:color="000000"/>
              <w:right w:val="single" w:sz="4" w:space="0" w:color="000000"/>
            </w:tcBorders>
          </w:tcPr>
          <w:p w:rsidR="00541C25" w:rsidRDefault="00541C25" w:rsidP="00590227">
            <w:pPr>
              <w:pStyle w:val="a3"/>
              <w:spacing w:after="80" w:line="240" w:lineRule="auto"/>
              <w:ind w:left="0" w:firstLine="567"/>
              <w:jc w:val="both"/>
              <w:rPr>
                <w:spacing w:val="-4"/>
                <w:sz w:val="23"/>
                <w:szCs w:val="23"/>
              </w:rPr>
            </w:pPr>
            <w:r>
              <w:rPr>
                <w:spacing w:val="-4"/>
                <w:sz w:val="23"/>
                <w:szCs w:val="23"/>
              </w:rPr>
              <w:t>- </w:t>
            </w:r>
            <w:proofErr w:type="spellStart"/>
            <w:r>
              <w:rPr>
                <w:spacing w:val="-4"/>
                <w:sz w:val="23"/>
                <w:szCs w:val="23"/>
              </w:rPr>
              <w:t>валидация</w:t>
            </w:r>
            <w:proofErr w:type="spellEnd"/>
            <w:r>
              <w:rPr>
                <w:spacing w:val="-4"/>
                <w:sz w:val="23"/>
                <w:szCs w:val="23"/>
              </w:rPr>
              <w:t xml:space="preserve"> текущей модели Фонда по ОКУ;</w:t>
            </w:r>
          </w:p>
          <w:p w:rsidR="00541C25" w:rsidRDefault="00541C25" w:rsidP="00590227">
            <w:pPr>
              <w:pStyle w:val="a3"/>
              <w:spacing w:after="80" w:line="240" w:lineRule="auto"/>
              <w:ind w:left="0" w:firstLine="567"/>
              <w:jc w:val="both"/>
              <w:rPr>
                <w:spacing w:val="-4"/>
                <w:sz w:val="23"/>
                <w:szCs w:val="23"/>
              </w:rPr>
            </w:pPr>
            <w:r>
              <w:rPr>
                <w:spacing w:val="-4"/>
                <w:sz w:val="23"/>
                <w:szCs w:val="23"/>
              </w:rPr>
              <w:t xml:space="preserve">- рассмотрение возможности включения в модель Фонда по ОКУ и последующая интеграция в модель </w:t>
            </w:r>
            <w:r w:rsidRPr="00B642FB">
              <w:rPr>
                <w:spacing w:val="-4"/>
                <w:sz w:val="23"/>
                <w:szCs w:val="23"/>
              </w:rPr>
              <w:t>количественны</w:t>
            </w:r>
            <w:r>
              <w:rPr>
                <w:spacing w:val="-4"/>
                <w:sz w:val="23"/>
                <w:szCs w:val="23"/>
              </w:rPr>
              <w:t>х</w:t>
            </w:r>
            <w:r w:rsidRPr="00B642FB">
              <w:rPr>
                <w:spacing w:val="-4"/>
                <w:sz w:val="23"/>
                <w:szCs w:val="23"/>
              </w:rPr>
              <w:t xml:space="preserve"> и качественны</w:t>
            </w:r>
            <w:r>
              <w:rPr>
                <w:spacing w:val="-4"/>
                <w:sz w:val="23"/>
                <w:szCs w:val="23"/>
              </w:rPr>
              <w:t>х</w:t>
            </w:r>
            <w:r w:rsidRPr="00B642FB">
              <w:rPr>
                <w:spacing w:val="-4"/>
                <w:sz w:val="23"/>
                <w:szCs w:val="23"/>
              </w:rPr>
              <w:t xml:space="preserve"> оцен</w:t>
            </w:r>
            <w:r>
              <w:rPr>
                <w:spacing w:val="-4"/>
                <w:sz w:val="23"/>
                <w:szCs w:val="23"/>
              </w:rPr>
              <w:t>ок</w:t>
            </w:r>
            <w:r w:rsidRPr="00B642FB">
              <w:rPr>
                <w:spacing w:val="-4"/>
                <w:sz w:val="23"/>
                <w:szCs w:val="23"/>
              </w:rPr>
              <w:t>,</w:t>
            </w:r>
            <w:r>
              <w:rPr>
                <w:spacing w:val="-4"/>
                <w:sz w:val="23"/>
                <w:szCs w:val="23"/>
              </w:rPr>
              <w:t xml:space="preserve"> </w:t>
            </w:r>
            <w:r w:rsidRPr="00B642FB">
              <w:rPr>
                <w:spacing w:val="-4"/>
                <w:sz w:val="23"/>
                <w:szCs w:val="23"/>
              </w:rPr>
              <w:t>используемы</w:t>
            </w:r>
            <w:r>
              <w:rPr>
                <w:spacing w:val="-4"/>
                <w:sz w:val="23"/>
                <w:szCs w:val="23"/>
              </w:rPr>
              <w:t>х</w:t>
            </w:r>
            <w:r w:rsidRPr="00B642FB">
              <w:rPr>
                <w:spacing w:val="-4"/>
                <w:sz w:val="23"/>
                <w:szCs w:val="23"/>
              </w:rPr>
              <w:t xml:space="preserve"> </w:t>
            </w:r>
            <w:proofErr w:type="gramStart"/>
            <w:r>
              <w:rPr>
                <w:spacing w:val="-4"/>
                <w:sz w:val="23"/>
                <w:szCs w:val="23"/>
              </w:rPr>
              <w:t>в рамках</w:t>
            </w:r>
            <w:proofErr w:type="gramEnd"/>
            <w:r>
              <w:rPr>
                <w:spacing w:val="-4"/>
                <w:sz w:val="23"/>
                <w:szCs w:val="23"/>
              </w:rPr>
              <w:t xml:space="preserve"> действующих ЛНА Фонда по прямому и проектному финансированию (</w:t>
            </w:r>
            <w:r w:rsidRPr="00060894">
              <w:rPr>
                <w:spacing w:val="-4"/>
                <w:sz w:val="23"/>
                <w:szCs w:val="23"/>
              </w:rPr>
              <w:t>D</w:t>
            </w:r>
            <w:r>
              <w:rPr>
                <w:spacing w:val="-4"/>
                <w:sz w:val="23"/>
                <w:szCs w:val="23"/>
                <w:lang w:val="en-US"/>
              </w:rPr>
              <w:t>EBT</w:t>
            </w:r>
            <w:r w:rsidRPr="00613662">
              <w:rPr>
                <w:spacing w:val="-4"/>
                <w:sz w:val="23"/>
                <w:szCs w:val="23"/>
              </w:rPr>
              <w:t>/</w:t>
            </w:r>
            <w:r w:rsidRPr="00060894">
              <w:rPr>
                <w:spacing w:val="-4"/>
                <w:sz w:val="23"/>
                <w:szCs w:val="23"/>
              </w:rPr>
              <w:t>EBITDA</w:t>
            </w:r>
            <w:r w:rsidRPr="00A45452">
              <w:rPr>
                <w:spacing w:val="-4"/>
                <w:sz w:val="23"/>
                <w:szCs w:val="23"/>
              </w:rPr>
              <w:t xml:space="preserve">, </w:t>
            </w:r>
            <w:r w:rsidRPr="00060894">
              <w:rPr>
                <w:spacing w:val="-4"/>
                <w:sz w:val="23"/>
                <w:szCs w:val="23"/>
              </w:rPr>
              <w:t>DSCR</w:t>
            </w:r>
            <w:r w:rsidRPr="00A45452">
              <w:rPr>
                <w:spacing w:val="-4"/>
                <w:sz w:val="23"/>
                <w:szCs w:val="23"/>
              </w:rPr>
              <w:t>,</w:t>
            </w:r>
            <w:r w:rsidRPr="00184E92">
              <w:rPr>
                <w:spacing w:val="-4"/>
                <w:sz w:val="23"/>
                <w:szCs w:val="23"/>
              </w:rPr>
              <w:t xml:space="preserve"> </w:t>
            </w:r>
            <w:r>
              <w:rPr>
                <w:spacing w:val="-4"/>
                <w:sz w:val="23"/>
                <w:szCs w:val="23"/>
                <w:lang w:val="en-US"/>
              </w:rPr>
              <w:t>NPV</w:t>
            </w:r>
            <w:r>
              <w:rPr>
                <w:spacing w:val="-4"/>
                <w:sz w:val="23"/>
                <w:szCs w:val="23"/>
              </w:rPr>
              <w:t>), а также учесть их допустимые значения и рейтинги в рамках отраслевой специфики проектов;</w:t>
            </w:r>
          </w:p>
          <w:p w:rsidR="00541C25" w:rsidRPr="00184E92" w:rsidRDefault="00541C25" w:rsidP="00590227">
            <w:pPr>
              <w:pStyle w:val="a3"/>
              <w:spacing w:after="80" w:line="240" w:lineRule="auto"/>
              <w:ind w:left="0" w:firstLine="567"/>
              <w:jc w:val="both"/>
              <w:rPr>
                <w:spacing w:val="-4"/>
                <w:sz w:val="23"/>
                <w:szCs w:val="23"/>
              </w:rPr>
            </w:pPr>
            <w:r>
              <w:rPr>
                <w:spacing w:val="-4"/>
                <w:sz w:val="23"/>
                <w:szCs w:val="23"/>
              </w:rPr>
              <w:t xml:space="preserve">- рассмотреть возможность использования статистики банков-партнеров Фонда по миграции выданных кредитов малому и среднему бизнесу между классификационными стадиями (в рамках МСФО 9) в целях </w:t>
            </w:r>
            <w:proofErr w:type="spellStart"/>
            <w:r>
              <w:rPr>
                <w:spacing w:val="-4"/>
                <w:sz w:val="23"/>
                <w:szCs w:val="23"/>
              </w:rPr>
              <w:t>донастройки</w:t>
            </w:r>
            <w:proofErr w:type="spellEnd"/>
            <w:r>
              <w:rPr>
                <w:spacing w:val="-4"/>
                <w:sz w:val="23"/>
                <w:szCs w:val="23"/>
              </w:rPr>
              <w:t xml:space="preserve"> текущей модели Фонда по ОКУ;</w:t>
            </w:r>
          </w:p>
          <w:p w:rsidR="00541C25" w:rsidRDefault="00541C25" w:rsidP="00590227">
            <w:pPr>
              <w:pStyle w:val="a3"/>
              <w:spacing w:after="80" w:line="240" w:lineRule="auto"/>
              <w:ind w:left="0" w:firstLine="567"/>
              <w:jc w:val="both"/>
              <w:rPr>
                <w:spacing w:val="-4"/>
                <w:sz w:val="23"/>
                <w:szCs w:val="23"/>
              </w:rPr>
            </w:pPr>
            <w:r>
              <w:rPr>
                <w:spacing w:val="-4"/>
                <w:sz w:val="23"/>
                <w:szCs w:val="23"/>
              </w:rPr>
              <w:t>- рассмотреть набор необходимых количественных и качественных риск параметров в рамках долевого участия в компаниях (в настоящее время долевое участие используется только по заемщикам в целях дополнительного контроля за деятельностью) и последующая их интеграция в модель Фонда по ОКУ. В рамках Стратегии предполагается долевое участие как самостоятельный инструмент по финансированию деятельности;</w:t>
            </w:r>
          </w:p>
          <w:p w:rsidR="00541C25" w:rsidRDefault="00541C25" w:rsidP="00590227">
            <w:pPr>
              <w:pStyle w:val="a3"/>
              <w:spacing w:after="80" w:line="240" w:lineRule="auto"/>
              <w:ind w:left="0" w:firstLine="567"/>
              <w:jc w:val="both"/>
              <w:rPr>
                <w:spacing w:val="-4"/>
                <w:sz w:val="23"/>
                <w:szCs w:val="23"/>
              </w:rPr>
            </w:pPr>
            <w:r>
              <w:rPr>
                <w:spacing w:val="-4"/>
                <w:sz w:val="23"/>
                <w:szCs w:val="23"/>
              </w:rPr>
              <w:t>- рассмотреть возможность консолидации финансовых показателей группы связанных компаний (далее – ГСК): финансовые показатели заемщика + финансовые показатели связанной компании/</w:t>
            </w:r>
            <w:proofErr w:type="spellStart"/>
            <w:r>
              <w:rPr>
                <w:spacing w:val="-4"/>
                <w:sz w:val="23"/>
                <w:szCs w:val="23"/>
              </w:rPr>
              <w:t>ий</w:t>
            </w:r>
            <w:proofErr w:type="spellEnd"/>
            <w:r>
              <w:rPr>
                <w:spacing w:val="-4"/>
                <w:sz w:val="23"/>
                <w:szCs w:val="23"/>
              </w:rPr>
              <w:t xml:space="preserve"> в целях возможного снижения показателя </w:t>
            </w:r>
            <w:r w:rsidRPr="00060894">
              <w:rPr>
                <w:spacing w:val="-4"/>
                <w:sz w:val="23"/>
                <w:szCs w:val="23"/>
              </w:rPr>
              <w:t>PD</w:t>
            </w:r>
            <w:r>
              <w:rPr>
                <w:spacing w:val="-4"/>
                <w:sz w:val="23"/>
                <w:szCs w:val="23"/>
              </w:rPr>
              <w:t xml:space="preserve">, а не только </w:t>
            </w:r>
            <w:r w:rsidRPr="00060894">
              <w:rPr>
                <w:spacing w:val="-4"/>
                <w:sz w:val="23"/>
                <w:szCs w:val="23"/>
              </w:rPr>
              <w:t>LGD</w:t>
            </w:r>
            <w:r w:rsidRPr="0053129B">
              <w:rPr>
                <w:spacing w:val="-4"/>
                <w:sz w:val="23"/>
                <w:szCs w:val="23"/>
              </w:rPr>
              <w:t xml:space="preserve"> </w:t>
            </w:r>
            <w:r>
              <w:rPr>
                <w:spacing w:val="-4"/>
                <w:sz w:val="23"/>
                <w:szCs w:val="23"/>
              </w:rPr>
              <w:t>(данный подход уже есть в текущей модели) и последующая интеграции данного подхода в модель;</w:t>
            </w:r>
          </w:p>
          <w:p w:rsidR="00541C25" w:rsidRDefault="00541C25" w:rsidP="00590227">
            <w:pPr>
              <w:pStyle w:val="a3"/>
              <w:spacing w:after="80" w:line="240" w:lineRule="auto"/>
              <w:ind w:left="0" w:firstLine="567"/>
              <w:jc w:val="both"/>
              <w:rPr>
                <w:spacing w:val="-4"/>
                <w:sz w:val="23"/>
                <w:szCs w:val="23"/>
              </w:rPr>
            </w:pPr>
            <w:r>
              <w:rPr>
                <w:spacing w:val="-4"/>
                <w:sz w:val="23"/>
                <w:szCs w:val="23"/>
              </w:rPr>
              <w:t>- актуализация методики по ОКУ в части инвестиций в ценные бумаги российских эмитентов и денежным средствам, которые были заморожены в расчетах у иностранных расчетных агентов или клиринговых центрах при процедуре погашения эмитентами своих выпусков;</w:t>
            </w:r>
          </w:p>
          <w:p w:rsidR="00541C25" w:rsidRDefault="00541C25" w:rsidP="00590227">
            <w:pPr>
              <w:pStyle w:val="a3"/>
              <w:spacing w:after="80" w:line="240" w:lineRule="auto"/>
              <w:ind w:left="0" w:firstLine="567"/>
              <w:jc w:val="both"/>
              <w:rPr>
                <w:spacing w:val="-4"/>
                <w:sz w:val="23"/>
                <w:szCs w:val="23"/>
              </w:rPr>
            </w:pPr>
            <w:r>
              <w:rPr>
                <w:spacing w:val="-4"/>
                <w:sz w:val="23"/>
                <w:szCs w:val="23"/>
              </w:rPr>
              <w:t xml:space="preserve">- проведение тестирования и внесение изменение (при необходимости) в список макроэкономических показателей, используемых для расчета </w:t>
            </w:r>
            <w:proofErr w:type="spellStart"/>
            <w:r>
              <w:rPr>
                <w:spacing w:val="-4"/>
                <w:sz w:val="23"/>
                <w:szCs w:val="23"/>
              </w:rPr>
              <w:t>макропоправки</w:t>
            </w:r>
            <w:proofErr w:type="spellEnd"/>
            <w:r>
              <w:rPr>
                <w:spacing w:val="-4"/>
                <w:sz w:val="23"/>
                <w:szCs w:val="23"/>
              </w:rPr>
              <w:t>;</w:t>
            </w:r>
          </w:p>
          <w:p w:rsidR="00541C25" w:rsidRPr="00060894" w:rsidRDefault="00541C25" w:rsidP="00590227">
            <w:pPr>
              <w:pStyle w:val="a3"/>
              <w:spacing w:after="80" w:line="240" w:lineRule="auto"/>
              <w:ind w:left="0" w:firstLine="567"/>
              <w:jc w:val="both"/>
              <w:rPr>
                <w:spacing w:val="-4"/>
                <w:sz w:val="23"/>
                <w:szCs w:val="23"/>
              </w:rPr>
            </w:pPr>
            <w:r>
              <w:rPr>
                <w:spacing w:val="-4"/>
                <w:sz w:val="23"/>
                <w:szCs w:val="23"/>
              </w:rPr>
              <w:t>- рассмотреть возможность с</w:t>
            </w:r>
            <w:r w:rsidRPr="002A1B76">
              <w:rPr>
                <w:spacing w:val="-4"/>
                <w:sz w:val="23"/>
                <w:szCs w:val="23"/>
              </w:rPr>
              <w:t>нижени</w:t>
            </w:r>
            <w:r>
              <w:rPr>
                <w:spacing w:val="-4"/>
                <w:sz w:val="23"/>
                <w:szCs w:val="23"/>
              </w:rPr>
              <w:t>я</w:t>
            </w:r>
            <w:r w:rsidRPr="002A1B76">
              <w:rPr>
                <w:spacing w:val="-4"/>
                <w:sz w:val="23"/>
                <w:szCs w:val="23"/>
              </w:rPr>
              <w:t xml:space="preserve"> % резервирования условных обязательств кредитного характера по неиспользованному лимиту кредитной линии (с 50% до 2</w:t>
            </w:r>
            <w:r>
              <w:rPr>
                <w:spacing w:val="-4"/>
                <w:sz w:val="23"/>
                <w:szCs w:val="23"/>
              </w:rPr>
              <w:t>0</w:t>
            </w:r>
            <w:r w:rsidRPr="002A1B76">
              <w:rPr>
                <w:spacing w:val="-4"/>
                <w:sz w:val="23"/>
                <w:szCs w:val="23"/>
              </w:rPr>
              <w:t>%)</w:t>
            </w:r>
            <w:r>
              <w:rPr>
                <w:spacing w:val="-4"/>
                <w:sz w:val="23"/>
                <w:szCs w:val="23"/>
              </w:rPr>
              <w:t xml:space="preserve"> и последующая интеграция этого подхода в модель.</w:t>
            </w:r>
          </w:p>
        </w:tc>
      </w:tr>
      <w:tr w:rsidR="00541C25" w:rsidRPr="00317AE4" w:rsidTr="00590227">
        <w:trPr>
          <w:trHeight w:val="315"/>
        </w:trPr>
        <w:tc>
          <w:tcPr>
            <w:tcW w:w="561" w:type="dxa"/>
            <w:tcBorders>
              <w:top w:val="single" w:sz="4" w:space="0" w:color="000000"/>
              <w:left w:val="single" w:sz="4" w:space="0" w:color="000000"/>
              <w:bottom w:val="single" w:sz="4" w:space="0" w:color="000000"/>
              <w:right w:val="single" w:sz="4" w:space="0" w:color="000000"/>
            </w:tcBorders>
          </w:tcPr>
          <w:p w:rsidR="00541C25" w:rsidRPr="00317AE4" w:rsidRDefault="00541C25" w:rsidP="00590227">
            <w:pPr>
              <w:spacing w:after="0"/>
              <w:contextualSpacing/>
              <w:jc w:val="both"/>
              <w:rPr>
                <w:iCs/>
              </w:rPr>
            </w:pPr>
            <w:r>
              <w:rPr>
                <w:iCs/>
              </w:rPr>
              <w:t>4</w:t>
            </w:r>
          </w:p>
        </w:tc>
        <w:tc>
          <w:tcPr>
            <w:tcW w:w="2587" w:type="dxa"/>
            <w:tcBorders>
              <w:top w:val="single" w:sz="4" w:space="0" w:color="000000"/>
              <w:left w:val="single" w:sz="4" w:space="0" w:color="000000"/>
              <w:bottom w:val="single" w:sz="4" w:space="0" w:color="000000"/>
              <w:right w:val="single" w:sz="4" w:space="0" w:color="000000"/>
            </w:tcBorders>
          </w:tcPr>
          <w:p w:rsidR="00541C25" w:rsidRPr="00317AE4" w:rsidRDefault="00541C25" w:rsidP="00590227">
            <w:pPr>
              <w:spacing w:after="0"/>
              <w:contextualSpacing/>
              <w:jc w:val="both"/>
              <w:rPr>
                <w:iCs/>
              </w:rPr>
            </w:pPr>
            <w:r w:rsidRPr="00317AE4">
              <w:rPr>
                <w:iCs/>
              </w:rPr>
              <w:t xml:space="preserve">Основание </w:t>
            </w:r>
          </w:p>
        </w:tc>
        <w:tc>
          <w:tcPr>
            <w:tcW w:w="6385" w:type="dxa"/>
            <w:tcBorders>
              <w:top w:val="single" w:sz="4" w:space="0" w:color="000000"/>
              <w:left w:val="single" w:sz="4" w:space="0" w:color="000000"/>
              <w:bottom w:val="single" w:sz="4" w:space="0" w:color="000000"/>
              <w:right w:val="single" w:sz="4" w:space="0" w:color="000000"/>
            </w:tcBorders>
          </w:tcPr>
          <w:p w:rsidR="00541C25" w:rsidRPr="00317AE4" w:rsidRDefault="00541C25" w:rsidP="00590227">
            <w:pPr>
              <w:spacing w:after="0"/>
              <w:contextualSpacing/>
              <w:jc w:val="both"/>
              <w:rPr>
                <w:iCs/>
              </w:rPr>
            </w:pPr>
            <w:r w:rsidRPr="00317AE4">
              <w:rPr>
                <w:iCs/>
              </w:rPr>
              <w:t>Решение Правления РКФР</w:t>
            </w:r>
          </w:p>
        </w:tc>
      </w:tr>
      <w:tr w:rsidR="00541C25" w:rsidRPr="007E2351" w:rsidTr="00590227">
        <w:trPr>
          <w:trHeight w:val="286"/>
        </w:trPr>
        <w:tc>
          <w:tcPr>
            <w:tcW w:w="561" w:type="dxa"/>
            <w:tcBorders>
              <w:top w:val="single" w:sz="4" w:space="0" w:color="000000"/>
              <w:left w:val="single" w:sz="4" w:space="0" w:color="000000"/>
              <w:bottom w:val="single" w:sz="4" w:space="0" w:color="000000"/>
              <w:right w:val="single" w:sz="4" w:space="0" w:color="000000"/>
            </w:tcBorders>
          </w:tcPr>
          <w:p w:rsidR="00541C25" w:rsidRPr="00317AE4" w:rsidRDefault="00541C25" w:rsidP="00590227">
            <w:pPr>
              <w:spacing w:after="0"/>
              <w:contextualSpacing/>
              <w:jc w:val="both"/>
              <w:rPr>
                <w:iCs/>
              </w:rPr>
            </w:pPr>
            <w:r>
              <w:rPr>
                <w:iCs/>
              </w:rPr>
              <w:t>5</w:t>
            </w:r>
          </w:p>
        </w:tc>
        <w:tc>
          <w:tcPr>
            <w:tcW w:w="2587" w:type="dxa"/>
            <w:tcBorders>
              <w:top w:val="single" w:sz="4" w:space="0" w:color="000000"/>
              <w:left w:val="single" w:sz="4" w:space="0" w:color="000000"/>
              <w:bottom w:val="single" w:sz="4" w:space="0" w:color="000000"/>
              <w:right w:val="single" w:sz="4" w:space="0" w:color="000000"/>
            </w:tcBorders>
          </w:tcPr>
          <w:p w:rsidR="00541C25" w:rsidRPr="00317AE4" w:rsidRDefault="00541C25" w:rsidP="00590227">
            <w:pPr>
              <w:spacing w:after="0"/>
              <w:contextualSpacing/>
              <w:jc w:val="both"/>
              <w:rPr>
                <w:iCs/>
              </w:rPr>
            </w:pPr>
            <w:r w:rsidRPr="00317AE4">
              <w:rPr>
                <w:iCs/>
              </w:rPr>
              <w:t xml:space="preserve">Заказчик </w:t>
            </w:r>
          </w:p>
        </w:tc>
        <w:tc>
          <w:tcPr>
            <w:tcW w:w="6385" w:type="dxa"/>
            <w:tcBorders>
              <w:top w:val="single" w:sz="4" w:space="0" w:color="000000"/>
              <w:left w:val="single" w:sz="4" w:space="0" w:color="000000"/>
              <w:bottom w:val="single" w:sz="4" w:space="0" w:color="000000"/>
              <w:right w:val="single" w:sz="4" w:space="0" w:color="000000"/>
            </w:tcBorders>
          </w:tcPr>
          <w:p w:rsidR="00541C25" w:rsidRPr="00317AE4" w:rsidRDefault="00541C25" w:rsidP="00590227">
            <w:pPr>
              <w:spacing w:after="0"/>
              <w:contextualSpacing/>
              <w:jc w:val="both"/>
              <w:rPr>
                <w:iCs/>
              </w:rPr>
            </w:pPr>
            <w:r w:rsidRPr="00317AE4">
              <w:rPr>
                <w:iCs/>
              </w:rPr>
              <w:t>Российско-</w:t>
            </w:r>
            <w:proofErr w:type="spellStart"/>
            <w:r w:rsidRPr="00317AE4">
              <w:rPr>
                <w:iCs/>
              </w:rPr>
              <w:t>Кыргызский</w:t>
            </w:r>
            <w:proofErr w:type="spellEnd"/>
            <w:r w:rsidRPr="00317AE4">
              <w:rPr>
                <w:iCs/>
              </w:rPr>
              <w:t xml:space="preserve"> Фонд развития</w:t>
            </w:r>
          </w:p>
          <w:p w:rsidR="00541C25" w:rsidRPr="00317AE4" w:rsidRDefault="00541C25" w:rsidP="00590227">
            <w:pPr>
              <w:spacing w:after="0"/>
              <w:contextualSpacing/>
              <w:jc w:val="both"/>
              <w:rPr>
                <w:iCs/>
              </w:rPr>
            </w:pPr>
            <w:r w:rsidRPr="00317AE4">
              <w:rPr>
                <w:iCs/>
              </w:rPr>
              <w:t xml:space="preserve">720040, г. Бишкек, бул. </w:t>
            </w:r>
            <w:proofErr w:type="spellStart"/>
            <w:r w:rsidRPr="00317AE4">
              <w:rPr>
                <w:iCs/>
              </w:rPr>
              <w:t>Эркиндик</w:t>
            </w:r>
            <w:proofErr w:type="spellEnd"/>
            <w:r w:rsidRPr="00317AE4">
              <w:rPr>
                <w:iCs/>
              </w:rPr>
              <w:t>, 21, БЦ "ОРИОН", 2-3 этаж</w:t>
            </w:r>
          </w:p>
          <w:p w:rsidR="00541C25" w:rsidRPr="00317AE4" w:rsidRDefault="00541C25" w:rsidP="00590227">
            <w:pPr>
              <w:spacing w:after="0"/>
              <w:contextualSpacing/>
              <w:jc w:val="both"/>
              <w:rPr>
                <w:iCs/>
              </w:rPr>
            </w:pPr>
            <w:r w:rsidRPr="00317AE4">
              <w:rPr>
                <w:iCs/>
              </w:rPr>
              <w:t>Контактный телефон: 0312 30 37 50</w:t>
            </w:r>
          </w:p>
          <w:p w:rsidR="00541C25" w:rsidRPr="007E2351" w:rsidRDefault="00541C25" w:rsidP="00590227">
            <w:pPr>
              <w:spacing w:after="0"/>
              <w:contextualSpacing/>
              <w:jc w:val="both"/>
              <w:rPr>
                <w:iCs/>
                <w:lang w:val="en-US"/>
              </w:rPr>
            </w:pPr>
            <w:r w:rsidRPr="00317AE4">
              <w:rPr>
                <w:iCs/>
                <w:lang w:val="en-US"/>
              </w:rPr>
              <w:t>E</w:t>
            </w:r>
            <w:r w:rsidRPr="007E2351">
              <w:rPr>
                <w:iCs/>
                <w:lang w:val="en-US"/>
              </w:rPr>
              <w:t>-</w:t>
            </w:r>
            <w:r w:rsidRPr="00317AE4">
              <w:rPr>
                <w:iCs/>
                <w:lang w:val="en-US"/>
              </w:rPr>
              <w:t>mail</w:t>
            </w:r>
            <w:r w:rsidRPr="007E2351">
              <w:rPr>
                <w:iCs/>
                <w:lang w:val="en-US"/>
              </w:rPr>
              <w:t xml:space="preserve">: </w:t>
            </w:r>
            <w:r w:rsidRPr="00317AE4">
              <w:rPr>
                <w:iCs/>
                <w:lang w:val="en-US"/>
              </w:rPr>
              <w:t>corporatecom</w:t>
            </w:r>
            <w:r w:rsidRPr="007E2351">
              <w:rPr>
                <w:iCs/>
                <w:lang w:val="en-US"/>
              </w:rPr>
              <w:t>@</w:t>
            </w:r>
            <w:r w:rsidRPr="00317AE4">
              <w:rPr>
                <w:iCs/>
                <w:lang w:val="en-US"/>
              </w:rPr>
              <w:t>rkdf</w:t>
            </w:r>
            <w:r w:rsidRPr="007E2351">
              <w:rPr>
                <w:iCs/>
                <w:lang w:val="en-US"/>
              </w:rPr>
              <w:t>.</w:t>
            </w:r>
            <w:r w:rsidRPr="00317AE4">
              <w:rPr>
                <w:iCs/>
                <w:lang w:val="en-US"/>
              </w:rPr>
              <w:t>org</w:t>
            </w:r>
          </w:p>
        </w:tc>
      </w:tr>
      <w:tr w:rsidR="00541C25" w:rsidRPr="00317AE4" w:rsidTr="00590227">
        <w:trPr>
          <w:trHeight w:val="286"/>
        </w:trPr>
        <w:tc>
          <w:tcPr>
            <w:tcW w:w="561" w:type="dxa"/>
            <w:tcBorders>
              <w:top w:val="single" w:sz="4" w:space="0" w:color="000000"/>
              <w:left w:val="single" w:sz="4" w:space="0" w:color="000000"/>
              <w:bottom w:val="single" w:sz="4" w:space="0" w:color="000000"/>
              <w:right w:val="single" w:sz="4" w:space="0" w:color="000000"/>
            </w:tcBorders>
          </w:tcPr>
          <w:p w:rsidR="00541C25" w:rsidRPr="00317AE4" w:rsidRDefault="00541C25" w:rsidP="00590227">
            <w:pPr>
              <w:spacing w:after="0"/>
              <w:contextualSpacing/>
              <w:jc w:val="both"/>
              <w:rPr>
                <w:iCs/>
              </w:rPr>
            </w:pPr>
            <w:r>
              <w:rPr>
                <w:iCs/>
              </w:rPr>
              <w:t>6</w:t>
            </w:r>
          </w:p>
        </w:tc>
        <w:tc>
          <w:tcPr>
            <w:tcW w:w="2587" w:type="dxa"/>
            <w:tcBorders>
              <w:top w:val="single" w:sz="4" w:space="0" w:color="000000"/>
              <w:left w:val="single" w:sz="4" w:space="0" w:color="000000"/>
              <w:bottom w:val="single" w:sz="4" w:space="0" w:color="000000"/>
              <w:right w:val="single" w:sz="4" w:space="0" w:color="000000"/>
            </w:tcBorders>
          </w:tcPr>
          <w:p w:rsidR="00541C25" w:rsidRPr="00317AE4" w:rsidRDefault="00541C25" w:rsidP="00590227">
            <w:pPr>
              <w:spacing w:after="0"/>
              <w:contextualSpacing/>
              <w:jc w:val="both"/>
              <w:rPr>
                <w:iCs/>
              </w:rPr>
            </w:pPr>
            <w:r w:rsidRPr="00317AE4">
              <w:rPr>
                <w:iCs/>
              </w:rPr>
              <w:t xml:space="preserve">Задачи </w:t>
            </w:r>
            <w:r w:rsidRPr="00317AE4">
              <w:rPr>
                <w:iCs/>
                <w:lang w:val="ky-KG"/>
              </w:rPr>
              <w:t>работы</w:t>
            </w:r>
          </w:p>
        </w:tc>
        <w:tc>
          <w:tcPr>
            <w:tcW w:w="6385" w:type="dxa"/>
            <w:tcBorders>
              <w:top w:val="single" w:sz="4" w:space="0" w:color="000000"/>
              <w:left w:val="single" w:sz="4" w:space="0" w:color="000000"/>
              <w:bottom w:val="single" w:sz="4" w:space="0" w:color="000000"/>
              <w:right w:val="single" w:sz="4" w:space="0" w:color="000000"/>
            </w:tcBorders>
          </w:tcPr>
          <w:p w:rsidR="00541C25" w:rsidRPr="00317AE4" w:rsidRDefault="00541C25" w:rsidP="00590227">
            <w:pPr>
              <w:spacing w:after="0"/>
              <w:contextualSpacing/>
              <w:jc w:val="both"/>
              <w:rPr>
                <w:iCs/>
              </w:rPr>
            </w:pPr>
            <w:r>
              <w:rPr>
                <w:spacing w:val="-4"/>
                <w:sz w:val="23"/>
                <w:szCs w:val="23"/>
              </w:rPr>
              <w:t>Задача - м</w:t>
            </w:r>
            <w:r w:rsidRPr="003C2CFB">
              <w:rPr>
                <w:spacing w:val="-4"/>
                <w:sz w:val="23"/>
                <w:szCs w:val="23"/>
              </w:rPr>
              <w:t>аксимально сблизить подходы по определению итогового уровня кредитного риска в рамках формирования ОКУ (модель по МСФО 9) и заключений ДРМ в рамках проектов, базирующихся на требованиях ЛНА Фонда</w:t>
            </w:r>
          </w:p>
        </w:tc>
      </w:tr>
      <w:tr w:rsidR="00541C25" w:rsidRPr="00317AE4" w:rsidTr="00590227">
        <w:trPr>
          <w:trHeight w:val="409"/>
        </w:trPr>
        <w:tc>
          <w:tcPr>
            <w:tcW w:w="561" w:type="dxa"/>
            <w:tcBorders>
              <w:top w:val="single" w:sz="4" w:space="0" w:color="000000"/>
              <w:left w:val="single" w:sz="4" w:space="0" w:color="000000"/>
              <w:bottom w:val="single" w:sz="4" w:space="0" w:color="000000"/>
              <w:right w:val="single" w:sz="4" w:space="0" w:color="000000"/>
            </w:tcBorders>
          </w:tcPr>
          <w:p w:rsidR="00541C25" w:rsidRPr="00317AE4" w:rsidRDefault="00541C25" w:rsidP="00590227">
            <w:pPr>
              <w:spacing w:after="0"/>
              <w:contextualSpacing/>
              <w:jc w:val="both"/>
              <w:rPr>
                <w:iCs/>
              </w:rPr>
            </w:pPr>
            <w:r>
              <w:rPr>
                <w:iCs/>
              </w:rPr>
              <w:lastRenderedPageBreak/>
              <w:t>7</w:t>
            </w:r>
          </w:p>
        </w:tc>
        <w:tc>
          <w:tcPr>
            <w:tcW w:w="2587" w:type="dxa"/>
            <w:tcBorders>
              <w:top w:val="single" w:sz="4" w:space="0" w:color="000000"/>
              <w:left w:val="single" w:sz="4" w:space="0" w:color="000000"/>
              <w:bottom w:val="single" w:sz="4" w:space="0" w:color="000000"/>
              <w:right w:val="single" w:sz="4" w:space="0" w:color="000000"/>
            </w:tcBorders>
          </w:tcPr>
          <w:p w:rsidR="00541C25" w:rsidRPr="00317AE4" w:rsidRDefault="00541C25" w:rsidP="00590227">
            <w:pPr>
              <w:spacing w:after="0"/>
              <w:contextualSpacing/>
              <w:rPr>
                <w:iCs/>
              </w:rPr>
            </w:pPr>
            <w:r w:rsidRPr="00317AE4">
              <w:rPr>
                <w:iCs/>
              </w:rPr>
              <w:t>Требования к содержанию работы</w:t>
            </w:r>
          </w:p>
        </w:tc>
        <w:tc>
          <w:tcPr>
            <w:tcW w:w="6385" w:type="dxa"/>
            <w:tcBorders>
              <w:top w:val="single" w:sz="4" w:space="0" w:color="000000"/>
              <w:left w:val="single" w:sz="4" w:space="0" w:color="000000"/>
              <w:bottom w:val="single" w:sz="4" w:space="0" w:color="000000"/>
              <w:right w:val="single" w:sz="4" w:space="0" w:color="000000"/>
            </w:tcBorders>
          </w:tcPr>
          <w:p w:rsidR="00541C25" w:rsidRPr="003B416C" w:rsidRDefault="00541C25" w:rsidP="00541C25">
            <w:pPr>
              <w:pStyle w:val="a3"/>
              <w:numPr>
                <w:ilvl w:val="0"/>
                <w:numId w:val="4"/>
              </w:numPr>
              <w:spacing w:after="0"/>
              <w:jc w:val="both"/>
              <w:rPr>
                <w:iCs/>
              </w:rPr>
            </w:pPr>
            <w:r>
              <w:rPr>
                <w:iCs/>
              </w:rPr>
              <w:t>З</w:t>
            </w:r>
            <w:r w:rsidRPr="003B416C">
              <w:rPr>
                <w:iCs/>
              </w:rPr>
              <w:t xml:space="preserve">аключение о проведенной </w:t>
            </w:r>
            <w:proofErr w:type="spellStart"/>
            <w:r w:rsidRPr="003B416C">
              <w:rPr>
                <w:iCs/>
              </w:rPr>
              <w:t>валидации</w:t>
            </w:r>
            <w:proofErr w:type="spellEnd"/>
            <w:r w:rsidRPr="003B416C">
              <w:rPr>
                <w:iCs/>
              </w:rPr>
              <w:t xml:space="preserve"> существующей модели ОКУ</w:t>
            </w:r>
            <w:r>
              <w:rPr>
                <w:iCs/>
              </w:rPr>
              <w:t xml:space="preserve"> с указанием возможных отклонений;</w:t>
            </w:r>
          </w:p>
          <w:p w:rsidR="00541C25" w:rsidRDefault="00541C25" w:rsidP="00541C25">
            <w:pPr>
              <w:pStyle w:val="a3"/>
              <w:numPr>
                <w:ilvl w:val="0"/>
                <w:numId w:val="4"/>
              </w:numPr>
              <w:spacing w:after="0"/>
              <w:jc w:val="both"/>
              <w:rPr>
                <w:iCs/>
              </w:rPr>
            </w:pPr>
            <w:r>
              <w:rPr>
                <w:iCs/>
              </w:rPr>
              <w:t>Согласованный с Фондом план работы по корректировке модели ОКУ;</w:t>
            </w:r>
          </w:p>
          <w:p w:rsidR="00541C25" w:rsidRPr="003B416C" w:rsidRDefault="00541C25" w:rsidP="00541C25">
            <w:pPr>
              <w:pStyle w:val="a3"/>
              <w:numPr>
                <w:ilvl w:val="0"/>
                <w:numId w:val="4"/>
              </w:numPr>
              <w:spacing w:after="0"/>
              <w:jc w:val="both"/>
              <w:rPr>
                <w:iCs/>
              </w:rPr>
            </w:pPr>
            <w:r>
              <w:rPr>
                <w:iCs/>
              </w:rPr>
              <w:t xml:space="preserve">Обновленная модель: 1. Методические рекомендации по ОКУ; 2. Расчетный файл </w:t>
            </w:r>
            <w:r>
              <w:rPr>
                <w:iCs/>
                <w:lang w:val="en-US"/>
              </w:rPr>
              <w:t>Excel</w:t>
            </w:r>
            <w:r>
              <w:rPr>
                <w:iCs/>
              </w:rPr>
              <w:t xml:space="preserve"> в рамках обновленной модели ОКУ</w:t>
            </w:r>
          </w:p>
        </w:tc>
      </w:tr>
      <w:tr w:rsidR="00541C25" w:rsidRPr="00317AE4" w:rsidTr="00590227">
        <w:trPr>
          <w:trHeight w:val="269"/>
        </w:trPr>
        <w:tc>
          <w:tcPr>
            <w:tcW w:w="561" w:type="dxa"/>
            <w:tcBorders>
              <w:top w:val="single" w:sz="4" w:space="0" w:color="000000"/>
              <w:left w:val="single" w:sz="4" w:space="0" w:color="000000"/>
              <w:bottom w:val="single" w:sz="4" w:space="0" w:color="000000"/>
              <w:right w:val="single" w:sz="4" w:space="0" w:color="000000"/>
            </w:tcBorders>
          </w:tcPr>
          <w:p w:rsidR="00541C25" w:rsidRPr="00317AE4" w:rsidRDefault="00541C25" w:rsidP="00590227">
            <w:pPr>
              <w:spacing w:after="0"/>
              <w:contextualSpacing/>
              <w:jc w:val="both"/>
              <w:rPr>
                <w:iCs/>
              </w:rPr>
            </w:pPr>
            <w:r>
              <w:rPr>
                <w:iCs/>
              </w:rPr>
              <w:t>8</w:t>
            </w:r>
          </w:p>
        </w:tc>
        <w:tc>
          <w:tcPr>
            <w:tcW w:w="2587" w:type="dxa"/>
            <w:tcBorders>
              <w:top w:val="single" w:sz="4" w:space="0" w:color="000000"/>
              <w:left w:val="single" w:sz="4" w:space="0" w:color="000000"/>
              <w:bottom w:val="single" w:sz="4" w:space="0" w:color="000000"/>
              <w:right w:val="single" w:sz="4" w:space="0" w:color="000000"/>
            </w:tcBorders>
          </w:tcPr>
          <w:p w:rsidR="00541C25" w:rsidRPr="00317AE4" w:rsidRDefault="00541C25" w:rsidP="00590227">
            <w:pPr>
              <w:spacing w:after="0"/>
              <w:contextualSpacing/>
              <w:jc w:val="both"/>
              <w:rPr>
                <w:iCs/>
              </w:rPr>
            </w:pPr>
            <w:r w:rsidRPr="00317AE4">
              <w:rPr>
                <w:iCs/>
              </w:rPr>
              <w:t>Требования к претенденту на выполнение работы</w:t>
            </w:r>
          </w:p>
        </w:tc>
        <w:tc>
          <w:tcPr>
            <w:tcW w:w="6385" w:type="dxa"/>
            <w:tcBorders>
              <w:top w:val="single" w:sz="4" w:space="0" w:color="000000"/>
              <w:left w:val="single" w:sz="4" w:space="0" w:color="000000"/>
              <w:bottom w:val="single" w:sz="4" w:space="0" w:color="000000"/>
              <w:right w:val="single" w:sz="4" w:space="0" w:color="000000"/>
            </w:tcBorders>
          </w:tcPr>
          <w:p w:rsidR="00541C25" w:rsidRPr="00317AE4" w:rsidRDefault="00541C25" w:rsidP="00541C25">
            <w:pPr>
              <w:pStyle w:val="a5"/>
              <w:numPr>
                <w:ilvl w:val="0"/>
                <w:numId w:val="5"/>
              </w:numPr>
              <w:tabs>
                <w:tab w:val="left" w:pos="426"/>
              </w:tabs>
              <w:spacing w:before="0" w:beforeAutospacing="0" w:after="0" w:afterAutospacing="0" w:line="276" w:lineRule="auto"/>
              <w:ind w:left="0" w:firstLine="0"/>
              <w:contextualSpacing/>
              <w:jc w:val="both"/>
              <w:rPr>
                <w:rFonts w:asciiTheme="minorHAnsi" w:eastAsiaTheme="minorHAnsi" w:hAnsiTheme="minorHAnsi"/>
                <w:sz w:val="22"/>
                <w:szCs w:val="22"/>
                <w:lang w:eastAsia="en-US"/>
              </w:rPr>
            </w:pPr>
            <w:r w:rsidRPr="00317AE4">
              <w:rPr>
                <w:rFonts w:asciiTheme="minorHAnsi" w:eastAsiaTheme="minorHAnsi" w:hAnsiTheme="minorHAnsi"/>
                <w:sz w:val="22"/>
                <w:szCs w:val="22"/>
                <w:lang w:eastAsia="en-US"/>
              </w:rPr>
              <w:t>Анкета Консультанта;</w:t>
            </w:r>
          </w:p>
          <w:p w:rsidR="00541C25" w:rsidRPr="00317AE4" w:rsidRDefault="00541C25" w:rsidP="00541C25">
            <w:pPr>
              <w:pStyle w:val="a5"/>
              <w:numPr>
                <w:ilvl w:val="0"/>
                <w:numId w:val="5"/>
              </w:numPr>
              <w:tabs>
                <w:tab w:val="left" w:pos="426"/>
              </w:tabs>
              <w:spacing w:before="0" w:beforeAutospacing="0" w:after="0" w:afterAutospacing="0" w:line="276" w:lineRule="auto"/>
              <w:ind w:left="0" w:firstLine="0"/>
              <w:contextualSpacing/>
              <w:jc w:val="both"/>
              <w:rPr>
                <w:rFonts w:asciiTheme="minorHAnsi" w:eastAsiaTheme="minorHAnsi" w:hAnsiTheme="minorHAnsi"/>
                <w:sz w:val="22"/>
                <w:szCs w:val="22"/>
                <w:lang w:eastAsia="en-US"/>
              </w:rPr>
            </w:pPr>
            <w:r w:rsidRPr="00C415CA">
              <w:rPr>
                <w:rFonts w:asciiTheme="minorHAnsi" w:eastAsiaTheme="minorHAnsi" w:hAnsiTheme="minorHAnsi"/>
                <w:sz w:val="22"/>
                <w:szCs w:val="22"/>
                <w:lang w:eastAsia="en-US"/>
              </w:rPr>
              <w:t>Документы, подтверждающие правовой статус</w:t>
            </w:r>
            <w:r w:rsidRPr="00317AE4">
              <w:rPr>
                <w:rFonts w:asciiTheme="minorHAnsi" w:eastAsiaTheme="minorHAnsi" w:hAnsiTheme="minorHAnsi"/>
                <w:sz w:val="22"/>
                <w:szCs w:val="22"/>
                <w:lang w:eastAsia="en-US"/>
              </w:rPr>
              <w:t>:</w:t>
            </w:r>
          </w:p>
          <w:p w:rsidR="00541C25" w:rsidRPr="00317AE4" w:rsidRDefault="00541C25" w:rsidP="00541C25">
            <w:pPr>
              <w:pStyle w:val="a5"/>
              <w:numPr>
                <w:ilvl w:val="0"/>
                <w:numId w:val="6"/>
              </w:numPr>
              <w:tabs>
                <w:tab w:val="left" w:pos="426"/>
              </w:tabs>
              <w:spacing w:before="0" w:beforeAutospacing="0" w:after="0" w:afterAutospacing="0" w:line="276" w:lineRule="auto"/>
              <w:contextualSpacing/>
              <w:jc w:val="both"/>
              <w:rPr>
                <w:rFonts w:asciiTheme="minorHAnsi" w:eastAsiaTheme="minorHAnsi" w:hAnsiTheme="minorHAnsi"/>
                <w:sz w:val="22"/>
                <w:szCs w:val="22"/>
                <w:lang w:eastAsia="en-US"/>
              </w:rPr>
            </w:pPr>
            <w:r w:rsidRPr="00317AE4">
              <w:rPr>
                <w:rFonts w:asciiTheme="minorHAnsi" w:eastAsiaTheme="minorHAnsi" w:hAnsiTheme="minorHAnsi"/>
                <w:sz w:val="22"/>
                <w:szCs w:val="22"/>
                <w:lang w:eastAsia="en-US"/>
              </w:rPr>
              <w:t>для юридического лица:</w:t>
            </w:r>
          </w:p>
          <w:p w:rsidR="00541C25" w:rsidRPr="00C415CA" w:rsidRDefault="00541C25" w:rsidP="00541C25">
            <w:pPr>
              <w:pStyle w:val="a5"/>
              <w:numPr>
                <w:ilvl w:val="0"/>
                <w:numId w:val="7"/>
              </w:numPr>
              <w:spacing w:beforeAutospacing="0" w:afterAutospacing="0" w:line="276" w:lineRule="auto"/>
              <w:ind w:left="887" w:hanging="425"/>
              <w:contextualSpacing/>
              <w:jc w:val="both"/>
              <w:rPr>
                <w:rFonts w:asciiTheme="minorHAnsi" w:eastAsiaTheme="minorHAnsi" w:hAnsiTheme="minorHAnsi"/>
                <w:sz w:val="22"/>
                <w:szCs w:val="22"/>
                <w:lang w:eastAsia="en-US"/>
              </w:rPr>
            </w:pPr>
            <w:r w:rsidRPr="00C415CA">
              <w:rPr>
                <w:rFonts w:asciiTheme="minorHAnsi" w:eastAsiaTheme="minorHAnsi" w:hAnsiTheme="minorHAnsi"/>
                <w:sz w:val="22"/>
                <w:szCs w:val="22"/>
                <w:lang w:eastAsia="en-US"/>
              </w:rPr>
              <w:t>копии регистрационных документов (свидетельство о государственной регистрации/перерегистрации и т.д.);</w:t>
            </w:r>
          </w:p>
          <w:p w:rsidR="00541C25" w:rsidRPr="00C415CA" w:rsidRDefault="00541C25" w:rsidP="00541C25">
            <w:pPr>
              <w:pStyle w:val="a5"/>
              <w:numPr>
                <w:ilvl w:val="0"/>
                <w:numId w:val="7"/>
              </w:numPr>
              <w:tabs>
                <w:tab w:val="left" w:pos="426"/>
              </w:tabs>
              <w:spacing w:before="0" w:beforeAutospacing="0" w:after="0" w:afterAutospacing="0" w:line="276" w:lineRule="auto"/>
              <w:ind w:left="887" w:hanging="425"/>
              <w:contextualSpacing/>
              <w:jc w:val="both"/>
              <w:rPr>
                <w:rFonts w:asciiTheme="minorHAnsi" w:eastAsiaTheme="minorHAnsi" w:hAnsiTheme="minorHAnsi"/>
                <w:sz w:val="22"/>
                <w:szCs w:val="22"/>
                <w:lang w:eastAsia="en-US"/>
              </w:rPr>
            </w:pPr>
            <w:r w:rsidRPr="00C415CA">
              <w:rPr>
                <w:rFonts w:asciiTheme="minorHAnsi" w:eastAsiaTheme="minorHAnsi" w:hAnsiTheme="minorHAnsi"/>
                <w:sz w:val="22"/>
                <w:szCs w:val="22"/>
                <w:lang w:eastAsia="en-US"/>
              </w:rPr>
              <w:t>копии учредительных документов.</w:t>
            </w:r>
          </w:p>
          <w:p w:rsidR="00541C25" w:rsidRPr="00317AE4" w:rsidRDefault="00541C25" w:rsidP="00541C25">
            <w:pPr>
              <w:pStyle w:val="a5"/>
              <w:numPr>
                <w:ilvl w:val="0"/>
                <w:numId w:val="6"/>
              </w:numPr>
              <w:tabs>
                <w:tab w:val="left" w:pos="426"/>
              </w:tabs>
              <w:spacing w:before="0" w:beforeAutospacing="0" w:after="0" w:afterAutospacing="0" w:line="276" w:lineRule="auto"/>
              <w:ind w:left="887" w:hanging="425"/>
              <w:contextualSpacing/>
              <w:jc w:val="both"/>
              <w:rPr>
                <w:rFonts w:asciiTheme="minorHAnsi" w:eastAsiaTheme="minorHAnsi" w:hAnsiTheme="minorHAnsi"/>
                <w:sz w:val="22"/>
                <w:szCs w:val="22"/>
                <w:lang w:eastAsia="en-US"/>
              </w:rPr>
            </w:pPr>
            <w:r w:rsidRPr="00317AE4">
              <w:rPr>
                <w:rFonts w:asciiTheme="minorHAnsi" w:eastAsiaTheme="minorHAnsi" w:hAnsiTheme="minorHAnsi"/>
                <w:sz w:val="22"/>
                <w:szCs w:val="22"/>
                <w:lang w:eastAsia="en-US"/>
              </w:rPr>
              <w:t xml:space="preserve">для </w:t>
            </w:r>
            <w:r w:rsidRPr="00C415CA">
              <w:rPr>
                <w:rFonts w:asciiTheme="minorHAnsi" w:eastAsiaTheme="minorHAnsi" w:hAnsiTheme="minorHAnsi"/>
                <w:sz w:val="22"/>
                <w:szCs w:val="22"/>
                <w:lang w:eastAsia="en-US"/>
              </w:rPr>
              <w:t>индивидуального предпринимателя</w:t>
            </w:r>
            <w:r w:rsidRPr="00317AE4">
              <w:rPr>
                <w:rFonts w:asciiTheme="minorHAnsi" w:eastAsiaTheme="minorHAnsi" w:hAnsiTheme="minorHAnsi"/>
                <w:sz w:val="22"/>
                <w:szCs w:val="22"/>
                <w:lang w:eastAsia="en-US"/>
              </w:rPr>
              <w:t xml:space="preserve">: </w:t>
            </w:r>
          </w:p>
          <w:p w:rsidR="00541C25" w:rsidRPr="00317AE4" w:rsidRDefault="00541C25" w:rsidP="00541C25">
            <w:pPr>
              <w:pStyle w:val="a5"/>
              <w:numPr>
                <w:ilvl w:val="0"/>
                <w:numId w:val="7"/>
              </w:numPr>
              <w:tabs>
                <w:tab w:val="left" w:pos="426"/>
              </w:tabs>
              <w:spacing w:before="0" w:beforeAutospacing="0" w:after="0" w:afterAutospacing="0" w:line="276" w:lineRule="auto"/>
              <w:ind w:left="887" w:hanging="425"/>
              <w:contextualSpacing/>
              <w:jc w:val="both"/>
              <w:rPr>
                <w:rFonts w:asciiTheme="minorHAnsi" w:eastAsiaTheme="minorHAnsi" w:hAnsiTheme="minorHAnsi"/>
                <w:sz w:val="22"/>
                <w:szCs w:val="22"/>
                <w:lang w:eastAsia="en-US"/>
              </w:rPr>
            </w:pPr>
            <w:r w:rsidRPr="00C415CA">
              <w:rPr>
                <w:rFonts w:asciiTheme="minorHAnsi" w:eastAsiaTheme="minorHAnsi" w:hAnsiTheme="minorHAnsi"/>
                <w:sz w:val="22"/>
                <w:szCs w:val="22"/>
                <w:lang w:eastAsia="en-US"/>
              </w:rPr>
              <w:t>копии регистрационных документов (свидетельство о регистрации физического лица в качестве индивидуального предпринимателя, патент и т.д.)</w:t>
            </w:r>
            <w:r w:rsidRPr="00317AE4">
              <w:rPr>
                <w:rFonts w:asciiTheme="minorHAnsi" w:eastAsiaTheme="minorHAnsi" w:hAnsiTheme="minorHAnsi"/>
                <w:sz w:val="22"/>
                <w:szCs w:val="22"/>
                <w:lang w:eastAsia="en-US"/>
              </w:rPr>
              <w:t>;</w:t>
            </w:r>
          </w:p>
          <w:p w:rsidR="00541C25" w:rsidRPr="00317AE4" w:rsidRDefault="00541C25" w:rsidP="00541C25">
            <w:pPr>
              <w:pStyle w:val="a5"/>
              <w:numPr>
                <w:ilvl w:val="0"/>
                <w:numId w:val="7"/>
              </w:numPr>
              <w:tabs>
                <w:tab w:val="left" w:pos="426"/>
              </w:tabs>
              <w:spacing w:before="0" w:beforeAutospacing="0" w:after="0" w:afterAutospacing="0" w:line="276" w:lineRule="auto"/>
              <w:ind w:left="887" w:hanging="425"/>
              <w:contextualSpacing/>
              <w:jc w:val="both"/>
              <w:rPr>
                <w:rFonts w:asciiTheme="minorHAnsi" w:eastAsiaTheme="minorHAnsi" w:hAnsiTheme="minorHAnsi"/>
                <w:sz w:val="22"/>
                <w:szCs w:val="22"/>
                <w:lang w:eastAsia="en-US"/>
              </w:rPr>
            </w:pPr>
            <w:r w:rsidRPr="00317AE4">
              <w:rPr>
                <w:rFonts w:asciiTheme="minorHAnsi" w:eastAsiaTheme="minorHAnsi" w:hAnsiTheme="minorHAnsi"/>
                <w:sz w:val="22"/>
                <w:szCs w:val="22"/>
                <w:lang w:eastAsia="en-US"/>
              </w:rPr>
              <w:t>копия паспорта.</w:t>
            </w:r>
          </w:p>
          <w:p w:rsidR="00541C25" w:rsidRPr="00317AE4" w:rsidRDefault="00541C25" w:rsidP="00541C25">
            <w:pPr>
              <w:pStyle w:val="a5"/>
              <w:numPr>
                <w:ilvl w:val="0"/>
                <w:numId w:val="5"/>
              </w:numPr>
              <w:tabs>
                <w:tab w:val="left" w:pos="426"/>
              </w:tabs>
              <w:spacing w:before="0" w:beforeAutospacing="0" w:after="0" w:afterAutospacing="0" w:line="276" w:lineRule="auto"/>
              <w:ind w:left="0" w:firstLine="0"/>
              <w:contextualSpacing/>
              <w:jc w:val="both"/>
              <w:rPr>
                <w:rFonts w:asciiTheme="minorHAnsi" w:eastAsiaTheme="minorHAnsi" w:hAnsiTheme="minorHAnsi"/>
                <w:sz w:val="22"/>
                <w:szCs w:val="22"/>
                <w:lang w:eastAsia="en-US"/>
              </w:rPr>
            </w:pPr>
            <w:r w:rsidRPr="00317AE4">
              <w:rPr>
                <w:rFonts w:asciiTheme="minorHAnsi" w:eastAsiaTheme="minorHAnsi" w:hAnsiTheme="minorHAnsi"/>
                <w:sz w:val="22"/>
                <w:szCs w:val="22"/>
                <w:lang w:eastAsia="en-US"/>
              </w:rPr>
              <w:t>Рекомендательные письма (при наличии) в адрес консультанта или профессиональной ассоциации, или материнской компании, от заказчиков, представляющих целевые отрасли, или международных финансовых институтов;</w:t>
            </w:r>
          </w:p>
          <w:p w:rsidR="00541C25" w:rsidRDefault="00541C25" w:rsidP="00541C25">
            <w:pPr>
              <w:pStyle w:val="a5"/>
              <w:numPr>
                <w:ilvl w:val="0"/>
                <w:numId w:val="5"/>
              </w:numPr>
              <w:tabs>
                <w:tab w:val="left" w:pos="426"/>
              </w:tabs>
              <w:spacing w:before="0" w:beforeAutospacing="0" w:after="0" w:afterAutospacing="0" w:line="276" w:lineRule="auto"/>
              <w:ind w:left="0" w:firstLine="0"/>
              <w:contextualSpacing/>
              <w:jc w:val="both"/>
              <w:rPr>
                <w:rFonts w:asciiTheme="minorHAnsi" w:eastAsiaTheme="minorHAnsi" w:hAnsiTheme="minorHAnsi"/>
                <w:sz w:val="22"/>
                <w:szCs w:val="22"/>
                <w:lang w:eastAsia="en-US"/>
              </w:rPr>
            </w:pPr>
            <w:r w:rsidRPr="00317AE4">
              <w:rPr>
                <w:rFonts w:asciiTheme="minorHAnsi" w:eastAsiaTheme="minorHAnsi" w:hAnsiTheme="minorHAnsi"/>
                <w:sz w:val="22"/>
                <w:szCs w:val="22"/>
                <w:lang w:eastAsia="en-US"/>
              </w:rPr>
              <w:t>Подписанная Антикоррупционная декларация по форме РКФР;</w:t>
            </w:r>
          </w:p>
          <w:p w:rsidR="00541C25" w:rsidRDefault="00541C25" w:rsidP="00541C25">
            <w:pPr>
              <w:pStyle w:val="a5"/>
              <w:numPr>
                <w:ilvl w:val="0"/>
                <w:numId w:val="5"/>
              </w:numPr>
              <w:tabs>
                <w:tab w:val="left" w:pos="426"/>
              </w:tabs>
              <w:spacing w:before="0" w:beforeAutospacing="0" w:after="0" w:afterAutospacing="0" w:line="276" w:lineRule="auto"/>
              <w:ind w:left="0" w:firstLine="0"/>
              <w:contextualSpacing/>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Документы, подтверждающие финансовое состояние:</w:t>
            </w:r>
          </w:p>
          <w:p w:rsidR="00541C25" w:rsidRDefault="00541C25" w:rsidP="00541C25">
            <w:pPr>
              <w:pStyle w:val="a5"/>
              <w:numPr>
                <w:ilvl w:val="0"/>
                <w:numId w:val="8"/>
              </w:numPr>
              <w:tabs>
                <w:tab w:val="left" w:pos="426"/>
              </w:tabs>
              <w:spacing w:before="0" w:beforeAutospacing="0" w:after="0" w:afterAutospacing="0" w:line="276" w:lineRule="auto"/>
              <w:contextualSpacing/>
              <w:jc w:val="both"/>
              <w:rPr>
                <w:rFonts w:asciiTheme="minorHAnsi" w:eastAsiaTheme="minorHAnsi" w:hAnsiTheme="minorHAnsi"/>
                <w:sz w:val="22"/>
                <w:szCs w:val="22"/>
                <w:lang w:eastAsia="en-US"/>
              </w:rPr>
            </w:pPr>
            <w:r w:rsidRPr="00317AE4">
              <w:rPr>
                <w:rFonts w:asciiTheme="minorHAnsi" w:eastAsiaTheme="minorHAnsi" w:hAnsiTheme="minorHAnsi"/>
                <w:sz w:val="22"/>
                <w:szCs w:val="22"/>
                <w:lang w:eastAsia="en-US"/>
              </w:rPr>
              <w:t>для юридического лица</w:t>
            </w:r>
            <w:r>
              <w:rPr>
                <w:rFonts w:asciiTheme="minorHAnsi" w:eastAsiaTheme="minorHAnsi" w:hAnsiTheme="minorHAnsi"/>
                <w:sz w:val="22"/>
                <w:szCs w:val="22"/>
                <w:lang w:eastAsia="en-US"/>
              </w:rPr>
              <w:t>: Баланс и Отчет о прибылях и убытках за последний финансовый год.</w:t>
            </w:r>
          </w:p>
          <w:p w:rsidR="00541C25" w:rsidRPr="00317AE4" w:rsidRDefault="00541C25" w:rsidP="00541C25">
            <w:pPr>
              <w:pStyle w:val="a5"/>
              <w:numPr>
                <w:ilvl w:val="0"/>
                <w:numId w:val="8"/>
              </w:numPr>
              <w:tabs>
                <w:tab w:val="left" w:pos="426"/>
              </w:tabs>
              <w:spacing w:before="0" w:beforeAutospacing="0" w:after="0" w:afterAutospacing="0" w:line="276" w:lineRule="auto"/>
              <w:contextualSpacing/>
              <w:jc w:val="both"/>
              <w:rPr>
                <w:rFonts w:asciiTheme="minorHAnsi" w:eastAsiaTheme="minorHAnsi" w:hAnsiTheme="minorHAnsi"/>
                <w:sz w:val="22"/>
                <w:szCs w:val="22"/>
                <w:lang w:eastAsia="en-US"/>
              </w:rPr>
            </w:pPr>
            <w:r w:rsidRPr="00317AE4">
              <w:rPr>
                <w:rFonts w:asciiTheme="minorHAnsi" w:eastAsiaTheme="minorHAnsi" w:hAnsiTheme="minorHAnsi"/>
                <w:sz w:val="22"/>
                <w:szCs w:val="22"/>
                <w:lang w:eastAsia="en-US"/>
              </w:rPr>
              <w:t xml:space="preserve">для </w:t>
            </w:r>
            <w:r w:rsidRPr="00C415CA">
              <w:rPr>
                <w:rFonts w:asciiTheme="minorHAnsi" w:eastAsiaTheme="minorHAnsi" w:hAnsiTheme="minorHAnsi"/>
                <w:sz w:val="22"/>
                <w:szCs w:val="22"/>
                <w:lang w:eastAsia="en-US"/>
              </w:rPr>
              <w:t>индивидуального предпринимателя</w:t>
            </w:r>
            <w:r w:rsidRPr="00317AE4">
              <w:rPr>
                <w:rFonts w:asciiTheme="minorHAnsi" w:eastAsiaTheme="minorHAnsi" w:hAnsiTheme="minorHAnsi"/>
                <w:sz w:val="22"/>
                <w:szCs w:val="22"/>
                <w:lang w:eastAsia="en-US"/>
              </w:rPr>
              <w:t>:</w:t>
            </w:r>
            <w:r>
              <w:rPr>
                <w:rFonts w:asciiTheme="minorHAnsi" w:eastAsiaTheme="minorHAnsi" w:hAnsiTheme="minorHAnsi"/>
                <w:sz w:val="22"/>
                <w:szCs w:val="22"/>
                <w:lang w:eastAsia="en-US"/>
              </w:rPr>
              <w:t xml:space="preserve"> последняя сданная налоговая декларация.</w:t>
            </w:r>
          </w:p>
          <w:p w:rsidR="00541C25" w:rsidRPr="00C415CA" w:rsidRDefault="00541C25" w:rsidP="00541C25">
            <w:pPr>
              <w:pStyle w:val="a5"/>
              <w:numPr>
                <w:ilvl w:val="0"/>
                <w:numId w:val="5"/>
              </w:numPr>
              <w:tabs>
                <w:tab w:val="left" w:pos="426"/>
              </w:tabs>
              <w:spacing w:before="0" w:beforeAutospacing="0" w:after="0" w:afterAutospacing="0" w:line="276" w:lineRule="auto"/>
              <w:ind w:left="0" w:firstLine="0"/>
              <w:contextualSpacing/>
              <w:jc w:val="both"/>
            </w:pPr>
            <w:r w:rsidRPr="00C415CA">
              <w:rPr>
                <w:rFonts w:asciiTheme="minorHAnsi" w:eastAsiaTheme="minorHAnsi" w:hAnsiTheme="minorHAnsi"/>
                <w:sz w:val="22"/>
                <w:szCs w:val="22"/>
                <w:lang w:eastAsia="en-US"/>
              </w:rPr>
              <w:t>Сертификаты, лицензии, иные сведенья, подтверждающие опыт работы и компетенцию сотрудников, которые будут привлечены в рамках работ.</w:t>
            </w:r>
          </w:p>
        </w:tc>
      </w:tr>
      <w:tr w:rsidR="00541C25" w:rsidRPr="00317AE4" w:rsidTr="00590227">
        <w:trPr>
          <w:trHeight w:val="286"/>
        </w:trPr>
        <w:tc>
          <w:tcPr>
            <w:tcW w:w="561" w:type="dxa"/>
            <w:tcBorders>
              <w:top w:val="single" w:sz="4" w:space="0" w:color="000000"/>
              <w:left w:val="single" w:sz="4" w:space="0" w:color="000000"/>
              <w:bottom w:val="single" w:sz="4" w:space="0" w:color="000000"/>
              <w:right w:val="single" w:sz="4" w:space="0" w:color="000000"/>
            </w:tcBorders>
          </w:tcPr>
          <w:p w:rsidR="00541C25" w:rsidRPr="00317AE4" w:rsidRDefault="00541C25" w:rsidP="00590227">
            <w:pPr>
              <w:spacing w:after="0"/>
              <w:contextualSpacing/>
              <w:jc w:val="both"/>
              <w:rPr>
                <w:iCs/>
              </w:rPr>
            </w:pPr>
            <w:r>
              <w:rPr>
                <w:iCs/>
              </w:rPr>
              <w:t>9</w:t>
            </w:r>
          </w:p>
        </w:tc>
        <w:tc>
          <w:tcPr>
            <w:tcW w:w="2587" w:type="dxa"/>
            <w:tcBorders>
              <w:top w:val="single" w:sz="4" w:space="0" w:color="000000"/>
              <w:left w:val="single" w:sz="4" w:space="0" w:color="000000"/>
              <w:bottom w:val="single" w:sz="4" w:space="0" w:color="000000"/>
              <w:right w:val="single" w:sz="4" w:space="0" w:color="000000"/>
            </w:tcBorders>
          </w:tcPr>
          <w:p w:rsidR="00541C25" w:rsidRPr="00317AE4" w:rsidRDefault="00541C25" w:rsidP="00590227">
            <w:pPr>
              <w:spacing w:after="0"/>
              <w:contextualSpacing/>
              <w:jc w:val="both"/>
              <w:rPr>
                <w:iCs/>
              </w:rPr>
            </w:pPr>
            <w:r w:rsidRPr="00317AE4">
              <w:rPr>
                <w:iCs/>
              </w:rPr>
              <w:t>Источник финансирования</w:t>
            </w:r>
          </w:p>
        </w:tc>
        <w:tc>
          <w:tcPr>
            <w:tcW w:w="6385" w:type="dxa"/>
            <w:tcBorders>
              <w:top w:val="single" w:sz="4" w:space="0" w:color="000000"/>
              <w:left w:val="single" w:sz="4" w:space="0" w:color="000000"/>
              <w:bottom w:val="single" w:sz="4" w:space="0" w:color="000000"/>
              <w:right w:val="single" w:sz="4" w:space="0" w:color="000000"/>
            </w:tcBorders>
          </w:tcPr>
          <w:p w:rsidR="00541C25" w:rsidRPr="00317AE4" w:rsidRDefault="00541C25" w:rsidP="00590227">
            <w:pPr>
              <w:spacing w:after="0"/>
              <w:contextualSpacing/>
              <w:jc w:val="both"/>
              <w:rPr>
                <w:iCs/>
              </w:rPr>
            </w:pPr>
            <w:r w:rsidRPr="00317AE4">
              <w:rPr>
                <w:iCs/>
              </w:rPr>
              <w:t xml:space="preserve">Средства Заказчика (100%) </w:t>
            </w:r>
          </w:p>
        </w:tc>
      </w:tr>
      <w:tr w:rsidR="00541C25" w:rsidRPr="00317AE4" w:rsidTr="00590227">
        <w:trPr>
          <w:trHeight w:val="286"/>
        </w:trPr>
        <w:tc>
          <w:tcPr>
            <w:tcW w:w="561" w:type="dxa"/>
            <w:tcBorders>
              <w:top w:val="single" w:sz="4" w:space="0" w:color="000000"/>
              <w:left w:val="single" w:sz="4" w:space="0" w:color="000000"/>
              <w:bottom w:val="single" w:sz="4" w:space="0" w:color="000000"/>
              <w:right w:val="single" w:sz="4" w:space="0" w:color="000000"/>
            </w:tcBorders>
          </w:tcPr>
          <w:p w:rsidR="00541C25" w:rsidRPr="00317AE4" w:rsidRDefault="00541C25" w:rsidP="00590227">
            <w:pPr>
              <w:spacing w:after="0"/>
              <w:contextualSpacing/>
              <w:jc w:val="both"/>
              <w:rPr>
                <w:iCs/>
              </w:rPr>
            </w:pPr>
            <w:r>
              <w:rPr>
                <w:iCs/>
              </w:rPr>
              <w:t>10</w:t>
            </w:r>
          </w:p>
        </w:tc>
        <w:tc>
          <w:tcPr>
            <w:tcW w:w="2587" w:type="dxa"/>
            <w:tcBorders>
              <w:top w:val="single" w:sz="4" w:space="0" w:color="000000"/>
              <w:left w:val="single" w:sz="4" w:space="0" w:color="000000"/>
              <w:bottom w:val="single" w:sz="4" w:space="0" w:color="000000"/>
              <w:right w:val="single" w:sz="4" w:space="0" w:color="000000"/>
            </w:tcBorders>
          </w:tcPr>
          <w:p w:rsidR="00541C25" w:rsidRPr="00317AE4" w:rsidRDefault="00541C25" w:rsidP="00590227">
            <w:pPr>
              <w:spacing w:after="0"/>
              <w:contextualSpacing/>
              <w:jc w:val="both"/>
              <w:rPr>
                <w:iCs/>
              </w:rPr>
            </w:pPr>
            <w:r w:rsidRPr="00317AE4">
              <w:rPr>
                <w:iCs/>
              </w:rPr>
              <w:t xml:space="preserve">Оформление результатов работы </w:t>
            </w:r>
          </w:p>
        </w:tc>
        <w:tc>
          <w:tcPr>
            <w:tcW w:w="6385" w:type="dxa"/>
            <w:tcBorders>
              <w:top w:val="single" w:sz="4" w:space="0" w:color="000000"/>
              <w:left w:val="single" w:sz="4" w:space="0" w:color="000000"/>
              <w:bottom w:val="single" w:sz="4" w:space="0" w:color="000000"/>
              <w:right w:val="single" w:sz="4" w:space="0" w:color="000000"/>
            </w:tcBorders>
          </w:tcPr>
          <w:p w:rsidR="00541C25" w:rsidRPr="00317AE4" w:rsidRDefault="00541C25" w:rsidP="00590227">
            <w:pPr>
              <w:spacing w:after="0"/>
              <w:contextualSpacing/>
              <w:jc w:val="both"/>
              <w:rPr>
                <w:iCs/>
              </w:rPr>
            </w:pPr>
            <w:r w:rsidRPr="00317AE4">
              <w:rPr>
                <w:iCs/>
              </w:rPr>
              <w:t>Результаты оказанных услуг оформляются в виде отчета Консультанта и передаются на бумажном и электронном носителе Заказчику в 2-х экземплярах</w:t>
            </w:r>
          </w:p>
        </w:tc>
      </w:tr>
      <w:tr w:rsidR="00541C25" w:rsidRPr="00317AE4" w:rsidTr="00590227">
        <w:trPr>
          <w:trHeight w:val="842"/>
        </w:trPr>
        <w:tc>
          <w:tcPr>
            <w:tcW w:w="561" w:type="dxa"/>
            <w:tcBorders>
              <w:top w:val="single" w:sz="4" w:space="0" w:color="000000"/>
              <w:left w:val="single" w:sz="4" w:space="0" w:color="000000"/>
              <w:bottom w:val="single" w:sz="4" w:space="0" w:color="auto"/>
              <w:right w:val="single" w:sz="4" w:space="0" w:color="000000"/>
            </w:tcBorders>
          </w:tcPr>
          <w:p w:rsidR="00541C25" w:rsidRPr="00317AE4" w:rsidRDefault="00541C25" w:rsidP="00590227">
            <w:pPr>
              <w:spacing w:after="0"/>
              <w:contextualSpacing/>
              <w:jc w:val="both"/>
              <w:rPr>
                <w:iCs/>
              </w:rPr>
            </w:pPr>
            <w:r>
              <w:rPr>
                <w:iCs/>
              </w:rPr>
              <w:t>11</w:t>
            </w:r>
          </w:p>
        </w:tc>
        <w:tc>
          <w:tcPr>
            <w:tcW w:w="2587" w:type="dxa"/>
            <w:tcBorders>
              <w:top w:val="single" w:sz="4" w:space="0" w:color="000000"/>
              <w:left w:val="single" w:sz="4" w:space="0" w:color="000000"/>
              <w:bottom w:val="single" w:sz="4" w:space="0" w:color="auto"/>
              <w:right w:val="single" w:sz="4" w:space="0" w:color="000000"/>
            </w:tcBorders>
          </w:tcPr>
          <w:p w:rsidR="00541C25" w:rsidRPr="00317AE4" w:rsidRDefault="00541C25" w:rsidP="00590227">
            <w:pPr>
              <w:spacing w:after="0"/>
              <w:contextualSpacing/>
              <w:jc w:val="both"/>
              <w:rPr>
                <w:iCs/>
              </w:rPr>
            </w:pPr>
            <w:r w:rsidRPr="00317AE4">
              <w:rPr>
                <w:iCs/>
              </w:rPr>
              <w:t>Дополнительные требования</w:t>
            </w:r>
          </w:p>
        </w:tc>
        <w:tc>
          <w:tcPr>
            <w:tcW w:w="6385" w:type="dxa"/>
            <w:tcBorders>
              <w:top w:val="single" w:sz="4" w:space="0" w:color="000000"/>
              <w:left w:val="single" w:sz="4" w:space="0" w:color="000000"/>
              <w:bottom w:val="single" w:sz="4" w:space="0" w:color="auto"/>
              <w:right w:val="single" w:sz="4" w:space="0" w:color="000000"/>
            </w:tcBorders>
          </w:tcPr>
          <w:p w:rsidR="00541C25" w:rsidRPr="00317AE4" w:rsidRDefault="00541C25" w:rsidP="00590227">
            <w:pPr>
              <w:spacing w:after="0"/>
              <w:contextualSpacing/>
              <w:jc w:val="both"/>
              <w:rPr>
                <w:iCs/>
              </w:rPr>
            </w:pPr>
            <w:r w:rsidRPr="00317AE4">
              <w:rPr>
                <w:iCs/>
              </w:rPr>
              <w:t>Коммерческое предложение должно состоять из:</w:t>
            </w:r>
          </w:p>
          <w:p w:rsidR="00541C25" w:rsidRPr="00317AE4" w:rsidRDefault="00541C25" w:rsidP="00541C25">
            <w:pPr>
              <w:numPr>
                <w:ilvl w:val="0"/>
                <w:numId w:val="1"/>
              </w:numPr>
              <w:spacing w:after="0"/>
              <w:contextualSpacing/>
              <w:jc w:val="both"/>
              <w:rPr>
                <w:iCs/>
              </w:rPr>
            </w:pPr>
            <w:r w:rsidRPr="00317AE4">
              <w:rPr>
                <w:iCs/>
              </w:rPr>
              <w:t>Краткого описания результатов работы по Техническому заданию;</w:t>
            </w:r>
          </w:p>
          <w:p w:rsidR="00541C25" w:rsidRPr="00317AE4" w:rsidRDefault="00541C25" w:rsidP="00541C25">
            <w:pPr>
              <w:numPr>
                <w:ilvl w:val="0"/>
                <w:numId w:val="1"/>
              </w:numPr>
              <w:spacing w:after="0"/>
              <w:contextualSpacing/>
              <w:jc w:val="both"/>
              <w:rPr>
                <w:iCs/>
              </w:rPr>
            </w:pPr>
            <w:r w:rsidRPr="00317AE4">
              <w:rPr>
                <w:iCs/>
              </w:rPr>
              <w:t>календарного плана выполнения работы;</w:t>
            </w:r>
          </w:p>
          <w:p w:rsidR="00541C25" w:rsidRPr="00584E95" w:rsidRDefault="00541C25" w:rsidP="00541C25">
            <w:pPr>
              <w:numPr>
                <w:ilvl w:val="0"/>
                <w:numId w:val="1"/>
              </w:numPr>
              <w:spacing w:after="0"/>
              <w:contextualSpacing/>
              <w:jc w:val="both"/>
              <w:rPr>
                <w:iCs/>
              </w:rPr>
            </w:pPr>
            <w:r w:rsidRPr="00317AE4">
              <w:rPr>
                <w:iCs/>
              </w:rPr>
              <w:t>бюджета расходов с отметкой о сумме, или доли необходимого авансирования.</w:t>
            </w:r>
          </w:p>
        </w:tc>
      </w:tr>
      <w:tr w:rsidR="00541C25" w:rsidRPr="00317AE4" w:rsidTr="00590227">
        <w:trPr>
          <w:trHeight w:val="53"/>
        </w:trPr>
        <w:tc>
          <w:tcPr>
            <w:tcW w:w="561" w:type="dxa"/>
            <w:tcBorders>
              <w:top w:val="single" w:sz="4" w:space="0" w:color="auto"/>
              <w:left w:val="single" w:sz="4" w:space="0" w:color="000000"/>
              <w:bottom w:val="single" w:sz="4" w:space="0" w:color="000000"/>
              <w:right w:val="single" w:sz="4" w:space="0" w:color="000000"/>
            </w:tcBorders>
          </w:tcPr>
          <w:p w:rsidR="00541C25" w:rsidRPr="00317AE4" w:rsidRDefault="00541C25" w:rsidP="00590227">
            <w:pPr>
              <w:spacing w:after="0"/>
              <w:contextualSpacing/>
              <w:jc w:val="both"/>
              <w:rPr>
                <w:iCs/>
              </w:rPr>
            </w:pPr>
            <w:r>
              <w:rPr>
                <w:iCs/>
              </w:rPr>
              <w:t>12</w:t>
            </w:r>
          </w:p>
        </w:tc>
        <w:tc>
          <w:tcPr>
            <w:tcW w:w="2587" w:type="dxa"/>
            <w:tcBorders>
              <w:top w:val="single" w:sz="4" w:space="0" w:color="auto"/>
              <w:left w:val="single" w:sz="4" w:space="0" w:color="000000"/>
              <w:bottom w:val="single" w:sz="4" w:space="0" w:color="000000"/>
              <w:right w:val="single" w:sz="4" w:space="0" w:color="000000"/>
            </w:tcBorders>
          </w:tcPr>
          <w:p w:rsidR="00541C25" w:rsidRPr="00317AE4" w:rsidRDefault="00541C25" w:rsidP="00590227">
            <w:pPr>
              <w:spacing w:after="0"/>
              <w:contextualSpacing/>
              <w:jc w:val="both"/>
              <w:rPr>
                <w:iCs/>
              </w:rPr>
            </w:pPr>
            <w:r w:rsidRPr="00317AE4">
              <w:rPr>
                <w:iCs/>
              </w:rPr>
              <w:t>Сроки выполнения работ</w:t>
            </w:r>
          </w:p>
        </w:tc>
        <w:tc>
          <w:tcPr>
            <w:tcW w:w="6385" w:type="dxa"/>
            <w:tcBorders>
              <w:top w:val="single" w:sz="4" w:space="0" w:color="auto"/>
              <w:left w:val="single" w:sz="4" w:space="0" w:color="000000"/>
              <w:bottom w:val="single" w:sz="4" w:space="0" w:color="000000"/>
              <w:right w:val="single" w:sz="4" w:space="0" w:color="000000"/>
            </w:tcBorders>
          </w:tcPr>
          <w:p w:rsidR="00541C25" w:rsidRPr="00317AE4" w:rsidRDefault="00541C25" w:rsidP="00590227">
            <w:pPr>
              <w:spacing w:after="0"/>
              <w:contextualSpacing/>
              <w:jc w:val="both"/>
              <w:rPr>
                <w:iCs/>
              </w:rPr>
            </w:pPr>
            <w:r w:rsidRPr="00317AE4">
              <w:rPr>
                <w:iCs/>
              </w:rPr>
              <w:t>В соответствии с договором</w:t>
            </w:r>
          </w:p>
        </w:tc>
      </w:tr>
    </w:tbl>
    <w:p w:rsidR="00541C25" w:rsidRPr="00317AE4" w:rsidRDefault="00541C25" w:rsidP="00541C25">
      <w:pPr>
        <w:spacing w:after="0"/>
        <w:contextualSpacing/>
        <w:jc w:val="both"/>
      </w:pPr>
    </w:p>
    <w:p w:rsidR="00541C25" w:rsidRPr="00317AE4" w:rsidRDefault="00541C25" w:rsidP="00541C25">
      <w:pPr>
        <w:numPr>
          <w:ilvl w:val="0"/>
          <w:numId w:val="2"/>
        </w:numPr>
        <w:tabs>
          <w:tab w:val="clear" w:pos="720"/>
          <w:tab w:val="num" w:pos="0"/>
        </w:tabs>
        <w:spacing w:after="0"/>
        <w:ind w:left="0" w:firstLine="0"/>
        <w:contextualSpacing/>
        <w:jc w:val="center"/>
        <w:rPr>
          <w:b/>
        </w:rPr>
      </w:pPr>
      <w:r w:rsidRPr="00317AE4">
        <w:rPr>
          <w:b/>
        </w:rPr>
        <w:t xml:space="preserve">Коммерческое </w:t>
      </w:r>
      <w:r w:rsidRPr="00317AE4">
        <w:rPr>
          <w:rFonts w:eastAsia="Times New Roman"/>
          <w:b/>
          <w:lang w:eastAsia="ru-RU"/>
        </w:rPr>
        <w:t>предложение</w:t>
      </w:r>
    </w:p>
    <w:p w:rsidR="00541C25" w:rsidRPr="00317AE4" w:rsidRDefault="00541C25" w:rsidP="00541C25">
      <w:pPr>
        <w:numPr>
          <w:ilvl w:val="1"/>
          <w:numId w:val="2"/>
        </w:numPr>
        <w:spacing w:after="0"/>
        <w:ind w:left="0" w:firstLine="0"/>
        <w:contextualSpacing/>
        <w:jc w:val="both"/>
      </w:pPr>
      <w:r w:rsidRPr="00317AE4">
        <w:lastRenderedPageBreak/>
        <w:t>Коммерческое</w:t>
      </w:r>
      <w:r w:rsidRPr="00317AE4">
        <w:rPr>
          <w:b/>
        </w:rPr>
        <w:t xml:space="preserve"> </w:t>
      </w:r>
      <w:r w:rsidRPr="00317AE4">
        <w:t>предложение должно состоять из:</w:t>
      </w:r>
    </w:p>
    <w:p w:rsidR="00541C25" w:rsidRPr="00317AE4" w:rsidRDefault="00541C25" w:rsidP="00541C25">
      <w:pPr>
        <w:numPr>
          <w:ilvl w:val="0"/>
          <w:numId w:val="1"/>
        </w:numPr>
        <w:spacing w:after="0"/>
        <w:contextualSpacing/>
        <w:jc w:val="both"/>
      </w:pPr>
      <w:r w:rsidRPr="00317AE4">
        <w:t>Краткого описания результатов работы по Техническому заданию;</w:t>
      </w:r>
    </w:p>
    <w:p w:rsidR="00541C25" w:rsidRPr="00317AE4" w:rsidRDefault="00541C25" w:rsidP="00541C25">
      <w:pPr>
        <w:numPr>
          <w:ilvl w:val="0"/>
          <w:numId w:val="1"/>
        </w:numPr>
        <w:spacing w:after="0"/>
        <w:contextualSpacing/>
        <w:jc w:val="both"/>
      </w:pPr>
      <w:r w:rsidRPr="00317AE4">
        <w:t>календарного плана выполнения работы;</w:t>
      </w:r>
    </w:p>
    <w:p w:rsidR="00541C25" w:rsidRPr="00317AE4" w:rsidRDefault="00541C25" w:rsidP="00541C25">
      <w:pPr>
        <w:numPr>
          <w:ilvl w:val="0"/>
          <w:numId w:val="1"/>
        </w:numPr>
        <w:spacing w:after="0"/>
        <w:contextualSpacing/>
        <w:jc w:val="both"/>
      </w:pPr>
      <w:r w:rsidRPr="00317AE4">
        <w:t>бюджета расходов с отметкой о сумме, или доли необходимого авансирования.</w:t>
      </w:r>
    </w:p>
    <w:p w:rsidR="00541C25" w:rsidRPr="00317AE4" w:rsidRDefault="00541C25" w:rsidP="00541C25">
      <w:pPr>
        <w:spacing w:after="0"/>
        <w:ind w:left="709" w:hanging="720"/>
        <w:contextualSpacing/>
        <w:jc w:val="both"/>
        <w:rPr>
          <w:rFonts w:eastAsia="Times New Roman"/>
          <w:lang w:eastAsia="ru-RU"/>
        </w:rPr>
      </w:pPr>
    </w:p>
    <w:p w:rsidR="00541C25" w:rsidRPr="00317AE4" w:rsidRDefault="00541C25" w:rsidP="00541C25">
      <w:pPr>
        <w:numPr>
          <w:ilvl w:val="0"/>
          <w:numId w:val="2"/>
        </w:numPr>
        <w:tabs>
          <w:tab w:val="clear" w:pos="720"/>
          <w:tab w:val="num" w:pos="0"/>
        </w:tabs>
        <w:spacing w:after="0"/>
        <w:ind w:left="0" w:firstLine="0"/>
        <w:contextualSpacing/>
        <w:jc w:val="center"/>
        <w:rPr>
          <w:b/>
        </w:rPr>
      </w:pPr>
      <w:r w:rsidRPr="00317AE4">
        <w:rPr>
          <w:rFonts w:eastAsia="Times New Roman"/>
          <w:b/>
          <w:lang w:eastAsia="ru-RU"/>
        </w:rPr>
        <w:t>Затраты</w:t>
      </w:r>
      <w:r w:rsidRPr="00317AE4">
        <w:rPr>
          <w:b/>
        </w:rPr>
        <w:t xml:space="preserve"> на участие в конкурсе</w:t>
      </w:r>
    </w:p>
    <w:p w:rsidR="00541C25" w:rsidRPr="00317AE4" w:rsidRDefault="00541C25" w:rsidP="00541C25">
      <w:pPr>
        <w:numPr>
          <w:ilvl w:val="1"/>
          <w:numId w:val="2"/>
        </w:numPr>
        <w:spacing w:after="0"/>
        <w:ind w:left="0" w:firstLine="0"/>
        <w:contextualSpacing/>
        <w:jc w:val="both"/>
        <w:rPr>
          <w:rFonts w:eastAsia="Times New Roman"/>
          <w:lang w:eastAsia="ru-RU"/>
        </w:rPr>
      </w:pPr>
      <w:r w:rsidRPr="00317AE4">
        <w:rPr>
          <w:rFonts w:eastAsia="Times New Roman"/>
          <w:lang w:eastAsia="ru-RU"/>
        </w:rPr>
        <w:t xml:space="preserve">Участник </w:t>
      </w:r>
      <w:r w:rsidRPr="00317AE4">
        <w:rPr>
          <w:lang w:val="ky-KG"/>
        </w:rPr>
        <w:t>несет</w:t>
      </w:r>
      <w:r w:rsidRPr="00317AE4">
        <w:rPr>
          <w:rFonts w:eastAsia="Times New Roman"/>
          <w:lang w:eastAsia="ru-RU"/>
        </w:rPr>
        <w:t xml:space="preserve"> все затраты, связанные с подготовкой и подачей своего коммерческого предложения, а также с участием в конкурсе.</w:t>
      </w:r>
    </w:p>
    <w:p w:rsidR="00541C25" w:rsidRPr="00317AE4" w:rsidRDefault="00541C25" w:rsidP="00541C25">
      <w:pPr>
        <w:spacing w:after="0"/>
        <w:ind w:left="709" w:hanging="720"/>
        <w:contextualSpacing/>
        <w:jc w:val="both"/>
        <w:rPr>
          <w:rFonts w:eastAsia="Times New Roman"/>
          <w:lang w:eastAsia="ru-RU"/>
        </w:rPr>
      </w:pPr>
    </w:p>
    <w:p w:rsidR="00541C25" w:rsidRPr="00317AE4" w:rsidRDefault="00541C25" w:rsidP="00541C25">
      <w:pPr>
        <w:numPr>
          <w:ilvl w:val="0"/>
          <w:numId w:val="2"/>
        </w:numPr>
        <w:tabs>
          <w:tab w:val="clear" w:pos="720"/>
          <w:tab w:val="num" w:pos="0"/>
        </w:tabs>
        <w:spacing w:after="0"/>
        <w:ind w:left="0" w:firstLine="0"/>
        <w:contextualSpacing/>
        <w:jc w:val="center"/>
        <w:rPr>
          <w:b/>
        </w:rPr>
      </w:pPr>
      <w:r w:rsidRPr="00317AE4">
        <w:rPr>
          <w:rFonts w:eastAsia="Times New Roman"/>
          <w:b/>
          <w:lang w:eastAsia="ru-RU"/>
        </w:rPr>
        <w:t>Содержание</w:t>
      </w:r>
      <w:r w:rsidRPr="00317AE4">
        <w:rPr>
          <w:b/>
        </w:rPr>
        <w:t xml:space="preserve"> документов Коммерческого предложения Участника</w:t>
      </w:r>
    </w:p>
    <w:p w:rsidR="00541C25" w:rsidRPr="00317AE4" w:rsidRDefault="00541C25" w:rsidP="00541C25">
      <w:pPr>
        <w:numPr>
          <w:ilvl w:val="1"/>
          <w:numId w:val="2"/>
        </w:numPr>
        <w:spacing w:after="0"/>
        <w:ind w:left="0" w:firstLine="0"/>
        <w:contextualSpacing/>
        <w:jc w:val="both"/>
        <w:rPr>
          <w:rFonts w:eastAsia="Times New Roman"/>
          <w:lang w:eastAsia="ru-RU"/>
        </w:rPr>
      </w:pPr>
      <w:r w:rsidRPr="00317AE4">
        <w:rPr>
          <w:rFonts w:eastAsia="Times New Roman"/>
          <w:lang w:eastAsia="ru-RU"/>
        </w:rPr>
        <w:t xml:space="preserve">Участник должен подготовить оригинал коммерческого предложения в отдельном запечатанном конверте, или эл. версию в формате PDF направить по электронной почте по адресу: </w:t>
      </w:r>
      <w:r w:rsidRPr="00317AE4">
        <w:rPr>
          <w:rFonts w:eastAsia="Times New Roman"/>
          <w:b/>
          <w:bCs/>
          <w:lang w:eastAsia="ru-RU"/>
        </w:rPr>
        <w:t>office@rkdf.org</w:t>
      </w:r>
    </w:p>
    <w:p w:rsidR="00541C25" w:rsidRPr="00317AE4" w:rsidRDefault="00541C25" w:rsidP="00541C25">
      <w:pPr>
        <w:numPr>
          <w:ilvl w:val="1"/>
          <w:numId w:val="2"/>
        </w:numPr>
        <w:spacing w:after="0"/>
        <w:ind w:left="0" w:firstLine="0"/>
        <w:contextualSpacing/>
        <w:jc w:val="both"/>
        <w:rPr>
          <w:rFonts w:eastAsia="Times New Roman"/>
          <w:lang w:eastAsia="ru-RU"/>
        </w:rPr>
      </w:pPr>
      <w:r w:rsidRPr="00317AE4">
        <w:rPr>
          <w:rFonts w:eastAsia="Times New Roman"/>
          <w:lang w:eastAsia="ru-RU"/>
        </w:rPr>
        <w:t xml:space="preserve">Все страницы оригинала Коммерческого предложения должны быть отпечатаны, подписаны лицом (лицами), имеющим(и) полномочия выступать от имени Участника и заверены его печатью. </w:t>
      </w:r>
    </w:p>
    <w:p w:rsidR="00541C25" w:rsidRPr="00317AE4" w:rsidRDefault="00541C25" w:rsidP="00541C25">
      <w:pPr>
        <w:numPr>
          <w:ilvl w:val="1"/>
          <w:numId w:val="2"/>
        </w:numPr>
        <w:spacing w:after="0"/>
        <w:ind w:left="0" w:firstLine="0"/>
        <w:contextualSpacing/>
        <w:jc w:val="both"/>
        <w:rPr>
          <w:rFonts w:eastAsia="Times New Roman"/>
          <w:lang w:eastAsia="ru-RU"/>
        </w:rPr>
      </w:pPr>
      <w:r w:rsidRPr="00317AE4">
        <w:rPr>
          <w:rFonts w:eastAsia="Times New Roman"/>
          <w:lang w:eastAsia="ru-RU"/>
        </w:rPr>
        <w:t xml:space="preserve">В коммерческом предложении не должно быть никаких исправлений, добавлений между строчками, подтирок или приписок. </w:t>
      </w:r>
    </w:p>
    <w:p w:rsidR="00541C25" w:rsidRPr="00317AE4" w:rsidRDefault="00541C25" w:rsidP="00541C25">
      <w:pPr>
        <w:numPr>
          <w:ilvl w:val="1"/>
          <w:numId w:val="2"/>
        </w:numPr>
        <w:spacing w:after="0"/>
        <w:ind w:left="0" w:firstLine="0"/>
        <w:contextualSpacing/>
        <w:jc w:val="both"/>
        <w:rPr>
          <w:rFonts w:eastAsia="Times New Roman"/>
          <w:lang w:eastAsia="ru-RU"/>
        </w:rPr>
      </w:pPr>
      <w:r w:rsidRPr="00317AE4">
        <w:rPr>
          <w:rFonts w:eastAsia="Times New Roman"/>
          <w:lang w:eastAsia="ru-RU"/>
        </w:rPr>
        <w:t>Участник может изменить, заменить или отозвать свое Коммерческое предложение после его подачи при условии, что Заказчик получит письменное уведомление об изменении, замене или отзыве предложения до истечения установленного срока представления коммерческих предложений.</w:t>
      </w:r>
    </w:p>
    <w:p w:rsidR="00541C25" w:rsidRPr="00317AE4" w:rsidRDefault="00541C25" w:rsidP="00541C25">
      <w:pPr>
        <w:numPr>
          <w:ilvl w:val="1"/>
          <w:numId w:val="2"/>
        </w:numPr>
        <w:spacing w:after="0"/>
        <w:ind w:left="0" w:firstLine="0"/>
        <w:contextualSpacing/>
        <w:jc w:val="both"/>
        <w:rPr>
          <w:rFonts w:eastAsia="Times New Roman"/>
          <w:lang w:eastAsia="ru-RU"/>
        </w:rPr>
      </w:pPr>
      <w:r w:rsidRPr="00317AE4">
        <w:rPr>
          <w:rFonts w:eastAsia="Times New Roman"/>
          <w:lang w:eastAsia="ru-RU"/>
        </w:rPr>
        <w:t>Все коммерческие предложения и изменения к ним, полученные после часа окончания последнего рабочего дня приема, будут отклонены и возвращены Участникам в нераспечатанном виде.</w:t>
      </w:r>
    </w:p>
    <w:p w:rsidR="00541C25" w:rsidRPr="00317AE4" w:rsidRDefault="00541C25" w:rsidP="00541C25">
      <w:pPr>
        <w:numPr>
          <w:ilvl w:val="1"/>
          <w:numId w:val="2"/>
        </w:numPr>
        <w:spacing w:after="0"/>
        <w:ind w:left="0" w:firstLine="0"/>
        <w:contextualSpacing/>
        <w:jc w:val="both"/>
        <w:rPr>
          <w:rFonts w:eastAsia="Times New Roman"/>
          <w:lang w:eastAsia="ru-RU"/>
        </w:rPr>
      </w:pPr>
      <w:r w:rsidRPr="00317AE4">
        <w:rPr>
          <w:rFonts w:eastAsia="Times New Roman"/>
          <w:lang w:eastAsia="ru-RU"/>
        </w:rPr>
        <w:t>После истечения срока подачи</w:t>
      </w:r>
      <w:r w:rsidRPr="00317AE4" w:rsidDel="00DF2B04">
        <w:rPr>
          <w:rFonts w:eastAsia="Times New Roman"/>
          <w:lang w:eastAsia="ru-RU"/>
        </w:rPr>
        <w:t xml:space="preserve"> </w:t>
      </w:r>
      <w:r w:rsidRPr="00317AE4">
        <w:rPr>
          <w:rFonts w:eastAsia="Times New Roman"/>
          <w:lang w:eastAsia="ru-RU"/>
        </w:rPr>
        <w:t>коммерческих предложений внесение в них изменений не допускается.</w:t>
      </w:r>
    </w:p>
    <w:p w:rsidR="00541C25" w:rsidRPr="00317AE4" w:rsidRDefault="00541C25" w:rsidP="00541C25">
      <w:pPr>
        <w:numPr>
          <w:ilvl w:val="1"/>
          <w:numId w:val="2"/>
        </w:numPr>
        <w:spacing w:after="0"/>
        <w:ind w:left="0" w:firstLine="0"/>
        <w:contextualSpacing/>
        <w:jc w:val="both"/>
        <w:rPr>
          <w:rFonts w:eastAsia="Times New Roman"/>
          <w:lang w:eastAsia="ru-RU"/>
        </w:rPr>
      </w:pPr>
      <w:r w:rsidRPr="00317AE4">
        <w:rPr>
          <w:rFonts w:eastAsia="Times New Roman"/>
          <w:lang w:eastAsia="ru-RU"/>
        </w:rPr>
        <w:t>Неполное представление запрашиваемой информации или же подача коммерческого предложения, не отвечающего всем требованиям, изложенным в настоящей Инструкции, может привести к отказу от предложения Заказчиком.</w:t>
      </w:r>
    </w:p>
    <w:p w:rsidR="00541C25" w:rsidRPr="00317AE4" w:rsidRDefault="00541C25" w:rsidP="00541C25">
      <w:pPr>
        <w:numPr>
          <w:ilvl w:val="1"/>
          <w:numId w:val="2"/>
        </w:numPr>
        <w:spacing w:after="0"/>
        <w:ind w:left="0" w:firstLine="0"/>
        <w:contextualSpacing/>
        <w:jc w:val="both"/>
        <w:rPr>
          <w:rFonts w:eastAsia="Times New Roman"/>
          <w:lang w:eastAsia="ru-RU"/>
        </w:rPr>
      </w:pPr>
      <w:r w:rsidRPr="00317AE4">
        <w:rPr>
          <w:rFonts w:eastAsia="Times New Roman"/>
          <w:lang w:eastAsia="ru-RU"/>
        </w:rPr>
        <w:t xml:space="preserve">Коммерческое предложение должно быть направлено </w:t>
      </w:r>
    </w:p>
    <w:p w:rsidR="00541C25" w:rsidRPr="00317AE4" w:rsidRDefault="00541C25" w:rsidP="00541C25">
      <w:pPr>
        <w:spacing w:after="0"/>
        <w:contextualSpacing/>
        <w:jc w:val="both"/>
        <w:rPr>
          <w:rFonts w:eastAsia="Times New Roman"/>
          <w:lang w:eastAsia="ru-RU"/>
        </w:rPr>
      </w:pPr>
      <w:r w:rsidRPr="00317AE4">
        <w:rPr>
          <w:rFonts w:eastAsia="Times New Roman"/>
          <w:lang w:eastAsia="ru-RU"/>
        </w:rPr>
        <w:t xml:space="preserve">- по адресу: </w:t>
      </w:r>
      <w:proofErr w:type="spellStart"/>
      <w:r w:rsidRPr="00317AE4">
        <w:rPr>
          <w:rFonts w:eastAsia="Times New Roman"/>
          <w:lang w:eastAsia="ru-RU"/>
        </w:rPr>
        <w:t>Кыргызская</w:t>
      </w:r>
      <w:proofErr w:type="spellEnd"/>
      <w:r w:rsidRPr="00317AE4">
        <w:rPr>
          <w:rFonts w:eastAsia="Times New Roman"/>
          <w:lang w:eastAsia="ru-RU"/>
        </w:rPr>
        <w:t xml:space="preserve"> Республика, 720040, г. Бишкек, бул. </w:t>
      </w:r>
      <w:proofErr w:type="spellStart"/>
      <w:r w:rsidRPr="00317AE4">
        <w:rPr>
          <w:rFonts w:eastAsia="Times New Roman"/>
          <w:lang w:eastAsia="ru-RU"/>
        </w:rPr>
        <w:t>Эркиндик</w:t>
      </w:r>
      <w:proofErr w:type="spellEnd"/>
      <w:r w:rsidRPr="00317AE4">
        <w:rPr>
          <w:rFonts w:eastAsia="Times New Roman"/>
          <w:lang w:eastAsia="ru-RU"/>
        </w:rPr>
        <w:t>, 21, «Российско-</w:t>
      </w:r>
      <w:proofErr w:type="spellStart"/>
      <w:r w:rsidRPr="00317AE4">
        <w:rPr>
          <w:rFonts w:eastAsia="Times New Roman"/>
          <w:lang w:eastAsia="ru-RU"/>
        </w:rPr>
        <w:t>Кыргызский</w:t>
      </w:r>
      <w:proofErr w:type="spellEnd"/>
      <w:r w:rsidRPr="00317AE4">
        <w:rPr>
          <w:rFonts w:eastAsia="Times New Roman"/>
          <w:lang w:eastAsia="ru-RU"/>
        </w:rPr>
        <w:t xml:space="preserve"> Фонд развития», с пометкой «Тендерные документы. </w:t>
      </w:r>
      <w:r w:rsidRPr="00317AE4">
        <w:rPr>
          <w:rFonts w:eastAsia="Times New Roman"/>
          <w:iCs/>
          <w:lang w:eastAsia="ru-RU"/>
        </w:rPr>
        <w:t xml:space="preserve">Наименование </w:t>
      </w:r>
      <w:r w:rsidRPr="00317AE4">
        <w:rPr>
          <w:rFonts w:eastAsia="Times New Roman"/>
          <w:iCs/>
          <w:lang w:val="ky-KG" w:eastAsia="ru-RU"/>
        </w:rPr>
        <w:t>работы:</w:t>
      </w:r>
      <w:r>
        <w:rPr>
          <w:rFonts w:eastAsia="Times New Roman"/>
          <w:iCs/>
          <w:lang w:val="ky-KG" w:eastAsia="ru-RU"/>
        </w:rPr>
        <w:t xml:space="preserve"> </w:t>
      </w:r>
      <w:r>
        <w:rPr>
          <w:rFonts w:eastAsia="Times New Roman"/>
          <w:lang w:eastAsia="ru-RU"/>
        </w:rPr>
        <w:t>«</w:t>
      </w:r>
      <w:proofErr w:type="spellStart"/>
      <w:r>
        <w:rPr>
          <w:rFonts w:eastAsia="Times New Roman"/>
          <w:lang w:eastAsia="ru-RU"/>
        </w:rPr>
        <w:t>В</w:t>
      </w:r>
      <w:r>
        <w:rPr>
          <w:iCs/>
        </w:rPr>
        <w:t>алидация</w:t>
      </w:r>
      <w:proofErr w:type="spellEnd"/>
      <w:r>
        <w:rPr>
          <w:iCs/>
        </w:rPr>
        <w:t xml:space="preserve"> и актуализация модели РКФР по оценке ожидаемых кредитных убытков в рамках МСФО 9</w:t>
      </w:r>
      <w:r>
        <w:rPr>
          <w:rFonts w:eastAsia="Times New Roman"/>
          <w:lang w:eastAsia="ru-RU"/>
        </w:rPr>
        <w:t>»</w:t>
      </w:r>
      <w:r w:rsidRPr="00317AE4">
        <w:rPr>
          <w:rFonts w:eastAsia="Times New Roman"/>
          <w:lang w:eastAsia="ru-RU"/>
        </w:rPr>
        <w:t>.</w:t>
      </w:r>
    </w:p>
    <w:p w:rsidR="00541C25" w:rsidRPr="00317AE4" w:rsidRDefault="00541C25" w:rsidP="00541C25">
      <w:pPr>
        <w:spacing w:after="0"/>
        <w:contextualSpacing/>
        <w:jc w:val="both"/>
        <w:rPr>
          <w:rFonts w:eastAsia="Times New Roman"/>
          <w:lang w:eastAsia="ru-RU"/>
        </w:rPr>
      </w:pPr>
      <w:r w:rsidRPr="00317AE4">
        <w:rPr>
          <w:rFonts w:eastAsia="Times New Roman"/>
          <w:lang w:eastAsia="ru-RU"/>
        </w:rPr>
        <w:t xml:space="preserve">- по электронной почте </w:t>
      </w:r>
      <w:r w:rsidRPr="00317AE4">
        <w:rPr>
          <w:rFonts w:eastAsia="Times New Roman"/>
          <w:b/>
          <w:bCs/>
          <w:lang w:eastAsia="ru-RU"/>
        </w:rPr>
        <w:t>office@rkdf.org</w:t>
      </w:r>
      <w:r w:rsidRPr="00317AE4">
        <w:rPr>
          <w:rFonts w:eastAsia="Times New Roman"/>
          <w:lang w:eastAsia="ru-RU"/>
        </w:rPr>
        <w:t xml:space="preserve">, с темой письма «Тендерные документы. </w:t>
      </w:r>
      <w:r w:rsidRPr="00317AE4">
        <w:rPr>
          <w:rFonts w:eastAsia="Times New Roman"/>
          <w:iCs/>
          <w:lang w:eastAsia="ru-RU"/>
        </w:rPr>
        <w:t xml:space="preserve">Наименование </w:t>
      </w:r>
      <w:r w:rsidRPr="00317AE4">
        <w:rPr>
          <w:rFonts w:eastAsia="Times New Roman"/>
          <w:iCs/>
          <w:lang w:val="ky-KG" w:eastAsia="ru-RU"/>
        </w:rPr>
        <w:t xml:space="preserve">работы: </w:t>
      </w:r>
      <w:r>
        <w:rPr>
          <w:rFonts w:eastAsia="Times New Roman"/>
          <w:lang w:eastAsia="ru-RU"/>
        </w:rPr>
        <w:t>«</w:t>
      </w:r>
      <w:proofErr w:type="spellStart"/>
      <w:r>
        <w:rPr>
          <w:rFonts w:eastAsia="Times New Roman"/>
          <w:lang w:eastAsia="ru-RU"/>
        </w:rPr>
        <w:t>В</w:t>
      </w:r>
      <w:r>
        <w:rPr>
          <w:iCs/>
        </w:rPr>
        <w:t>алидация</w:t>
      </w:r>
      <w:proofErr w:type="spellEnd"/>
      <w:r>
        <w:rPr>
          <w:iCs/>
        </w:rPr>
        <w:t xml:space="preserve"> и актуализация модели РКФР по оценке ожидаемых кредитных убытков в рамках МСФО 9</w:t>
      </w:r>
      <w:r>
        <w:rPr>
          <w:rFonts w:eastAsia="Times New Roman"/>
          <w:lang w:eastAsia="ru-RU"/>
        </w:rPr>
        <w:t>»</w:t>
      </w:r>
      <w:r w:rsidRPr="00317AE4">
        <w:rPr>
          <w:rFonts w:eastAsia="Times New Roman"/>
          <w:lang w:eastAsia="ru-RU"/>
        </w:rPr>
        <w:t>.</w:t>
      </w:r>
    </w:p>
    <w:p w:rsidR="00541C25" w:rsidRPr="00317AE4" w:rsidRDefault="00541C25" w:rsidP="00541C25">
      <w:pPr>
        <w:spacing w:after="0"/>
        <w:ind w:left="709" w:hanging="720"/>
        <w:contextualSpacing/>
        <w:jc w:val="both"/>
        <w:rPr>
          <w:rFonts w:eastAsia="Times New Roman"/>
          <w:lang w:eastAsia="ru-RU"/>
        </w:rPr>
      </w:pPr>
    </w:p>
    <w:p w:rsidR="00541C25" w:rsidRPr="00317AE4" w:rsidRDefault="00541C25" w:rsidP="00541C25">
      <w:pPr>
        <w:numPr>
          <w:ilvl w:val="0"/>
          <w:numId w:val="2"/>
        </w:numPr>
        <w:tabs>
          <w:tab w:val="clear" w:pos="720"/>
          <w:tab w:val="num" w:pos="0"/>
        </w:tabs>
        <w:spacing w:after="0"/>
        <w:ind w:left="0" w:firstLine="0"/>
        <w:contextualSpacing/>
        <w:jc w:val="center"/>
        <w:rPr>
          <w:b/>
        </w:rPr>
      </w:pPr>
      <w:r w:rsidRPr="00317AE4">
        <w:rPr>
          <w:b/>
        </w:rPr>
        <w:t xml:space="preserve">Право </w:t>
      </w:r>
      <w:r w:rsidRPr="00317AE4">
        <w:rPr>
          <w:rFonts w:eastAsia="Times New Roman"/>
          <w:b/>
          <w:lang w:eastAsia="ru-RU"/>
        </w:rPr>
        <w:t>Заказчика</w:t>
      </w:r>
      <w:r w:rsidRPr="00317AE4">
        <w:rPr>
          <w:b/>
        </w:rPr>
        <w:t xml:space="preserve"> принять </w:t>
      </w:r>
      <w:r w:rsidRPr="00317AE4">
        <w:rPr>
          <w:b/>
          <w:lang w:val="ky-KG"/>
        </w:rPr>
        <w:t xml:space="preserve">либо отклонить </w:t>
      </w:r>
      <w:r w:rsidRPr="00317AE4">
        <w:rPr>
          <w:b/>
        </w:rPr>
        <w:t>любое Коммерческое предложение</w:t>
      </w:r>
    </w:p>
    <w:p w:rsidR="00541C25" w:rsidRPr="00317AE4" w:rsidRDefault="00541C25" w:rsidP="00541C25">
      <w:pPr>
        <w:numPr>
          <w:ilvl w:val="1"/>
          <w:numId w:val="2"/>
        </w:numPr>
        <w:spacing w:after="0"/>
        <w:ind w:left="0" w:firstLine="0"/>
        <w:contextualSpacing/>
        <w:jc w:val="both"/>
        <w:rPr>
          <w:rFonts w:eastAsia="Times New Roman"/>
          <w:lang w:eastAsia="ru-RU"/>
        </w:rPr>
      </w:pPr>
      <w:r w:rsidRPr="00317AE4">
        <w:rPr>
          <w:rFonts w:eastAsia="Times New Roman"/>
          <w:lang w:eastAsia="ru-RU"/>
        </w:rPr>
        <w:t>Заказчик оставляет за собой право принять или отклонить любое Коммерческое предложение, а также отклонить все Коммерческие предложения и аннулировать процесс Конкурса в любой момент до определения победителя, не неся при этом никаких обязательств перед Участниками и не будучи обязанным, информировать Участника или Участников о причинах таких действий.</w:t>
      </w:r>
    </w:p>
    <w:p w:rsidR="00541C25" w:rsidRPr="00317AE4" w:rsidRDefault="00541C25" w:rsidP="00541C25">
      <w:pPr>
        <w:numPr>
          <w:ilvl w:val="1"/>
          <w:numId w:val="2"/>
        </w:numPr>
        <w:spacing w:after="0"/>
        <w:ind w:left="0" w:firstLine="0"/>
        <w:contextualSpacing/>
        <w:jc w:val="both"/>
        <w:rPr>
          <w:rFonts w:eastAsia="Times New Roman"/>
          <w:lang w:eastAsia="ru-RU"/>
        </w:rPr>
      </w:pPr>
      <w:r w:rsidRPr="00317AE4">
        <w:rPr>
          <w:rFonts w:eastAsia="Times New Roman"/>
          <w:lang w:eastAsia="ru-RU"/>
        </w:rPr>
        <w:t xml:space="preserve">Заказчик оставляет за собой право выбрать любого Участника победителем конкурса не будучи обязанным, информировать Участника или Участников о процедурах отбора. При этом если </w:t>
      </w:r>
      <w:r w:rsidRPr="00317AE4">
        <w:rPr>
          <w:rFonts w:eastAsia="Times New Roman"/>
          <w:lang w:eastAsia="ru-RU"/>
        </w:rPr>
        <w:lastRenderedPageBreak/>
        <w:t>победитель конкурса по каким-то причинам отказался от оказания услуг, Заказчик вправе определить победителем иного Участника.</w:t>
      </w:r>
    </w:p>
    <w:p w:rsidR="00786F47" w:rsidRDefault="00541C25" w:rsidP="00541C25">
      <w:pPr>
        <w:numPr>
          <w:ilvl w:val="1"/>
          <w:numId w:val="2"/>
        </w:numPr>
        <w:spacing w:after="0"/>
        <w:ind w:left="0" w:firstLine="0"/>
        <w:contextualSpacing/>
        <w:jc w:val="both"/>
      </w:pPr>
      <w:r w:rsidRPr="00317AE4">
        <w:t xml:space="preserve">Участники конкурса будут уведомлены о результатах конкурса после принятия Заказчиком решение. </w:t>
      </w:r>
    </w:p>
    <w:sectPr w:rsidR="00786F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13162"/>
    <w:multiLevelType w:val="hybridMultilevel"/>
    <w:tmpl w:val="1A660792"/>
    <w:lvl w:ilvl="0" w:tplc="446689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C04EA"/>
    <w:multiLevelType w:val="multilevel"/>
    <w:tmpl w:val="E23E0FD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5D29B4"/>
    <w:multiLevelType w:val="hybridMultilevel"/>
    <w:tmpl w:val="3A0C4FBE"/>
    <w:lvl w:ilvl="0" w:tplc="0419000D">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 w15:restartNumberingAfterBreak="0">
    <w:nsid w:val="2BF91BC6"/>
    <w:multiLevelType w:val="hybridMultilevel"/>
    <w:tmpl w:val="61A6779C"/>
    <w:lvl w:ilvl="0" w:tplc="95C88C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943E9C"/>
    <w:multiLevelType w:val="hybridMultilevel"/>
    <w:tmpl w:val="6B16BEAC"/>
    <w:lvl w:ilvl="0" w:tplc="0FAC8B2C">
      <w:start w:val="1"/>
      <w:numFmt w:val="russianLow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4253DBF"/>
    <w:multiLevelType w:val="hybridMultilevel"/>
    <w:tmpl w:val="3046469C"/>
    <w:lvl w:ilvl="0" w:tplc="C3726C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974143"/>
    <w:multiLevelType w:val="hybridMultilevel"/>
    <w:tmpl w:val="ADA62CBC"/>
    <w:lvl w:ilvl="0" w:tplc="F25687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530786"/>
    <w:multiLevelType w:val="multilevel"/>
    <w:tmpl w:val="C098423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4"/>
  </w:num>
  <w:num w:numId="2">
    <w:abstractNumId w:val="1"/>
  </w:num>
  <w:num w:numId="3">
    <w:abstractNumId w:val="7"/>
  </w:num>
  <w:num w:numId="4">
    <w:abstractNumId w:val="0"/>
  </w:num>
  <w:num w:numId="5">
    <w:abstractNumId w:val="3"/>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C25"/>
    <w:rsid w:val="002F1381"/>
    <w:rsid w:val="00492F68"/>
    <w:rsid w:val="00541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81C38-7F5B-4824-BE2A-FFFDC653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C2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link w:val="a4"/>
    <w:uiPriority w:val="34"/>
    <w:qFormat/>
    <w:rsid w:val="00541C25"/>
    <w:pPr>
      <w:ind w:left="720"/>
      <w:contextualSpacing/>
    </w:pPr>
  </w:style>
  <w:style w:type="character" w:customStyle="1" w:styleId="a4">
    <w:name w:val="Абзац списка Знак"/>
    <w:aliases w:val="AC List 01 Знак"/>
    <w:basedOn w:val="a0"/>
    <w:link w:val="a3"/>
    <w:uiPriority w:val="34"/>
    <w:locked/>
    <w:rsid w:val="00541C25"/>
    <w:rPr>
      <w:rFonts w:ascii="Calibri" w:eastAsia="Calibri" w:hAnsi="Calibri" w:cs="Times New Roman"/>
    </w:rPr>
  </w:style>
  <w:style w:type="paragraph" w:styleId="a5">
    <w:name w:val="No Spacing"/>
    <w:basedOn w:val="a"/>
    <w:uiPriority w:val="1"/>
    <w:qFormat/>
    <w:rsid w:val="00541C25"/>
    <w:pPr>
      <w:spacing w:before="100" w:beforeAutospacing="1" w:after="100" w:afterAutospacing="1" w:line="240" w:lineRule="auto"/>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1547</Words>
  <Characters>8820</Characters>
  <Application>Microsoft Office Word</Application>
  <DocSecurity>0</DocSecurity>
  <Lines>73</Lines>
  <Paragraphs>20</Paragraphs>
  <ScaleCrop>false</ScaleCrop>
  <Company/>
  <LinksUpToDate>false</LinksUpToDate>
  <CharactersWithSpaces>10347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 Akzhigit uulu</dc:creator>
  <cp:keywords/>
  <dc:description/>
  <cp:lastModifiedBy>Melis Akzhigit uulu</cp:lastModifiedBy>
  <cp:revision>1</cp:revision>
  <dcterms:created xsi:type="dcterms:W3CDTF">2022-07-18T04:49:00Z</dcterms:created>
  <dcterms:modified xsi:type="dcterms:W3CDTF">2022-07-18T04:50:00Z</dcterms:modified>
</cp:coreProperties>
</file>